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D3E3" w14:textId="77777777" w:rsidR="001B4B85" w:rsidRDefault="00000000">
      <w:pPr>
        <w:spacing w:after="60"/>
      </w:pPr>
      <w:r>
        <w:rPr>
          <w:b/>
          <w:bCs/>
          <w:color w:val="B8956A"/>
          <w:spacing w:val="120"/>
          <w:sz w:val="16"/>
          <w:szCs w:val="16"/>
        </w:rPr>
        <w:t>SIACE PARTNERS</w:t>
      </w:r>
    </w:p>
    <w:p w14:paraId="0C919BC9" w14:textId="77777777" w:rsidR="001B4B85" w:rsidRDefault="00000000">
      <w:pPr>
        <w:pBdr>
          <w:bottom w:val="single" w:sz="2" w:space="8" w:color="B8956A"/>
        </w:pBdr>
        <w:spacing w:after="200"/>
      </w:pPr>
      <w:r>
        <w:rPr>
          <w:b/>
          <w:bCs/>
          <w:color w:val="0D1B2A"/>
          <w:sz w:val="36"/>
          <w:szCs w:val="36"/>
        </w:rPr>
        <w:t>Data Processing Agreement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6770"/>
      </w:tblGrid>
      <w:tr w:rsidR="001B4B85" w14:paraId="584D3847" w14:textId="77777777">
        <w:tc>
          <w:tcPr>
            <w:tcW w:w="2256" w:type="dxa"/>
            <w:tcBorders>
              <w:top w:val="single" w:sz="1" w:space="0" w:color="EDE8E0"/>
              <w:left w:val="single" w:sz="1" w:space="0" w:color="EDE8E0"/>
              <w:bottom w:val="single" w:sz="1" w:space="0" w:color="EDE8E0"/>
              <w:right w:val="single" w:sz="1" w:space="0" w:color="EDE8E0"/>
            </w:tcBorders>
            <w:shd w:val="clear" w:color="auto" w:fill="0E4D52"/>
            <w:tcMar>
              <w:top w:w="80" w:type="dxa"/>
              <w:left w:w="120" w:type="dxa"/>
              <w:bottom w:w="80" w:type="dxa"/>
              <w:right w:w="120" w:type="dxa"/>
            </w:tcMar>
          </w:tcPr>
          <w:p w14:paraId="49122C49" w14:textId="77777777" w:rsidR="001B4B85" w:rsidRDefault="00000000">
            <w:r>
              <w:rPr>
                <w:b/>
                <w:bCs/>
                <w:color w:val="FFFFFF"/>
                <w:sz w:val="18"/>
                <w:szCs w:val="18"/>
              </w:rPr>
              <w:t>Data Processor</w:t>
            </w:r>
          </w:p>
        </w:tc>
        <w:tc>
          <w:tcPr>
            <w:tcW w:w="6769" w:type="dxa"/>
            <w:tcBorders>
              <w:top w:val="single" w:sz="1" w:space="0" w:color="EDE8E0"/>
              <w:left w:val="single" w:sz="1" w:space="0" w:color="EDE8E0"/>
              <w:bottom w:val="single" w:sz="1" w:space="0" w:color="EDE8E0"/>
              <w:right w:val="single" w:sz="1" w:space="0" w:color="EDE8E0"/>
            </w:tcBorders>
            <w:tcMar>
              <w:top w:w="80" w:type="dxa"/>
              <w:left w:w="120" w:type="dxa"/>
              <w:bottom w:w="80" w:type="dxa"/>
              <w:right w:w="120" w:type="dxa"/>
            </w:tcMar>
          </w:tcPr>
          <w:p w14:paraId="5939C42F" w14:textId="77777777" w:rsidR="001B4B85" w:rsidRDefault="00000000">
            <w:r>
              <w:rPr>
                <w:b/>
                <w:bCs/>
                <w:color w:val="0D1B2A"/>
                <w:sz w:val="20"/>
                <w:szCs w:val="20"/>
              </w:rPr>
              <w:t xml:space="preserve">Siace Partners ABN 51 912 766 180 </w:t>
            </w:r>
          </w:p>
          <w:p w14:paraId="18282CD9" w14:textId="77777777" w:rsidR="001B4B85" w:rsidRDefault="00000000">
            <w:r>
              <w:rPr>
                <w:color w:val="8A8A9A"/>
                <w:sz w:val="18"/>
                <w:szCs w:val="18"/>
              </w:rPr>
              <w:t>Melbourne, Victoria, Australia  |  hello@siacepartners.com</w:t>
            </w:r>
          </w:p>
        </w:tc>
      </w:tr>
      <w:tr w:rsidR="001B4B85" w14:paraId="401462C0" w14:textId="77777777">
        <w:tc>
          <w:tcPr>
            <w:tcW w:w="2256" w:type="dxa"/>
            <w:tcBorders>
              <w:top w:val="single" w:sz="1" w:space="0" w:color="EDE8E0"/>
              <w:left w:val="single" w:sz="1" w:space="0" w:color="EDE8E0"/>
              <w:bottom w:val="single" w:sz="1" w:space="0" w:color="EDE8E0"/>
              <w:right w:val="single" w:sz="1" w:space="0" w:color="EDE8E0"/>
            </w:tcBorders>
            <w:shd w:val="clear" w:color="auto" w:fill="0D1B2A"/>
            <w:tcMar>
              <w:top w:w="80" w:type="dxa"/>
              <w:left w:w="120" w:type="dxa"/>
              <w:bottom w:w="80" w:type="dxa"/>
              <w:right w:w="120" w:type="dxa"/>
            </w:tcMar>
          </w:tcPr>
          <w:p w14:paraId="2574E585" w14:textId="77777777" w:rsidR="001B4B85" w:rsidRDefault="00000000">
            <w:r>
              <w:rPr>
                <w:b/>
                <w:bCs/>
                <w:color w:val="FFFFFF"/>
                <w:sz w:val="18"/>
                <w:szCs w:val="18"/>
              </w:rPr>
              <w:t>Data Controller</w:t>
            </w:r>
          </w:p>
        </w:tc>
        <w:tc>
          <w:tcPr>
            <w:tcW w:w="6769" w:type="dxa"/>
            <w:tcBorders>
              <w:top w:val="single" w:sz="1" w:space="0" w:color="EDE8E0"/>
              <w:left w:val="single" w:sz="1" w:space="0" w:color="EDE8E0"/>
              <w:bottom w:val="single" w:sz="1" w:space="0" w:color="EDE8E0"/>
              <w:right w:val="single" w:sz="1" w:space="0" w:color="EDE8E0"/>
            </w:tcBorders>
            <w:tcMar>
              <w:top w:w="80" w:type="dxa"/>
              <w:left w:w="120" w:type="dxa"/>
              <w:bottom w:w="80" w:type="dxa"/>
              <w:right w:w="120" w:type="dxa"/>
            </w:tcMar>
          </w:tcPr>
          <w:p w14:paraId="1095DE1C" w14:textId="77777777" w:rsidR="001B4B85" w:rsidRDefault="00000000">
            <w:r>
              <w:rPr>
                <w:b/>
                <w:bCs/>
                <w:color w:val="0D1B2A"/>
                <w:sz w:val="20"/>
                <w:szCs w:val="20"/>
              </w:rPr>
              <w:t>[Practice Name]  ABN [                    ]</w:t>
            </w:r>
          </w:p>
          <w:p w14:paraId="607693E3" w14:textId="77777777" w:rsidR="001B4B85" w:rsidRDefault="00000000">
            <w:r>
              <w:rPr>
                <w:color w:val="8A8A9A"/>
                <w:sz w:val="18"/>
                <w:szCs w:val="18"/>
              </w:rPr>
              <w:t>[Address]  |  [Contact Email]</w:t>
            </w:r>
          </w:p>
        </w:tc>
      </w:tr>
      <w:tr w:rsidR="001B4B85" w14:paraId="4428A5D0" w14:textId="77777777">
        <w:tc>
          <w:tcPr>
            <w:tcW w:w="2256" w:type="dxa"/>
            <w:tcBorders>
              <w:top w:val="single" w:sz="1" w:space="0" w:color="EDE8E0"/>
              <w:left w:val="single" w:sz="1" w:space="0" w:color="EDE8E0"/>
              <w:bottom w:val="single" w:sz="1" w:space="0" w:color="EDE8E0"/>
              <w:right w:val="single" w:sz="1" w:space="0" w:color="EDE8E0"/>
            </w:tcBorders>
            <w:shd w:val="clear" w:color="auto" w:fill="F5F2ED"/>
            <w:tcMar>
              <w:top w:w="80" w:type="dxa"/>
              <w:left w:w="120" w:type="dxa"/>
              <w:bottom w:w="80" w:type="dxa"/>
              <w:right w:w="120" w:type="dxa"/>
            </w:tcMar>
          </w:tcPr>
          <w:p w14:paraId="691D402E" w14:textId="77777777" w:rsidR="001B4B85" w:rsidRDefault="00000000">
            <w:r>
              <w:rPr>
                <w:b/>
                <w:bCs/>
                <w:color w:val="0E4D52"/>
                <w:sz w:val="18"/>
                <w:szCs w:val="18"/>
              </w:rPr>
              <w:t>Effective Date</w:t>
            </w:r>
          </w:p>
        </w:tc>
        <w:tc>
          <w:tcPr>
            <w:tcW w:w="6769" w:type="dxa"/>
            <w:tcBorders>
              <w:top w:val="single" w:sz="1" w:space="0" w:color="EDE8E0"/>
              <w:left w:val="single" w:sz="1" w:space="0" w:color="EDE8E0"/>
              <w:bottom w:val="single" w:sz="1" w:space="0" w:color="EDE8E0"/>
              <w:right w:val="single" w:sz="1" w:space="0" w:color="EDE8E0"/>
            </w:tcBorders>
            <w:tcMar>
              <w:top w:w="80" w:type="dxa"/>
              <w:left w:w="120" w:type="dxa"/>
              <w:bottom w:w="80" w:type="dxa"/>
              <w:right w:w="120" w:type="dxa"/>
            </w:tcMar>
          </w:tcPr>
          <w:p w14:paraId="22341C26" w14:textId="77777777" w:rsidR="001B4B85" w:rsidRDefault="00000000">
            <w:r>
              <w:rPr>
                <w:color w:val="0D1B2A"/>
                <w:sz w:val="20"/>
                <w:szCs w:val="20"/>
              </w:rPr>
              <w:t>[Date]</w:t>
            </w:r>
          </w:p>
        </w:tc>
      </w:tr>
    </w:tbl>
    <w:p w14:paraId="666DE564" w14:textId="77777777" w:rsidR="001B4B85" w:rsidRDefault="001B4B85">
      <w:pPr>
        <w:spacing w:before="200" w:after="100"/>
      </w:pPr>
    </w:p>
    <w:p w14:paraId="21061C73" w14:textId="77777777" w:rsidR="001B4B85" w:rsidRDefault="00000000">
      <w:pPr>
        <w:pStyle w:val="Heading1"/>
      </w:pPr>
      <w:r>
        <w:t>1. Purpose</w:t>
      </w:r>
    </w:p>
    <w:p w14:paraId="027E2992" w14:textId="77777777" w:rsidR="001B4B85" w:rsidRDefault="00000000">
      <w:pPr>
        <w:spacing w:after="160" w:line="320" w:lineRule="auto"/>
      </w:pPr>
      <w:r>
        <w:rPr>
          <w:sz w:val="21"/>
          <w:szCs w:val="21"/>
        </w:rPr>
        <w:t>This Data Processing Agreement ("DPA") governs how Siace Partners ("Processor") processes personal and business data on behalf of the dental or healthcare practice ("Controller") in connection with the services described in the engagement letter or service agreement between the parties.</w:t>
      </w:r>
    </w:p>
    <w:p w14:paraId="3D0D6596" w14:textId="77777777" w:rsidR="001B4B85" w:rsidRDefault="00000000">
      <w:pPr>
        <w:spacing w:after="160" w:line="320" w:lineRule="auto"/>
      </w:pPr>
      <w:r>
        <w:rPr>
          <w:sz w:val="21"/>
          <w:szCs w:val="21"/>
        </w:rPr>
        <w:t>This DPA supplements and forms part of the Terms of Engagement. In the event of any conflict between this DPA and the Terms of Engagement, this DPA prevails with respect to data processing matters.</w:t>
      </w:r>
    </w:p>
    <w:p w14:paraId="45FEF107" w14:textId="77777777" w:rsidR="001B4B85" w:rsidRDefault="00000000">
      <w:pPr>
        <w:pStyle w:val="Heading1"/>
      </w:pPr>
      <w:r>
        <w:t>2. Definitions</w:t>
      </w:r>
    </w:p>
    <w:p w14:paraId="60717999" w14:textId="77777777" w:rsidR="001B4B85" w:rsidRDefault="00000000">
      <w:pPr>
        <w:spacing w:after="160" w:line="320" w:lineRule="auto"/>
      </w:pPr>
      <w:r>
        <w:rPr>
          <w:b/>
          <w:bCs/>
          <w:color w:val="0D1B2A"/>
          <w:sz w:val="21"/>
          <w:szCs w:val="21"/>
        </w:rPr>
        <w:t>Personal Information</w:t>
      </w:r>
      <w:r>
        <w:rPr>
          <w:sz w:val="21"/>
          <w:szCs w:val="21"/>
        </w:rPr>
        <w:t xml:space="preserve"> means information or an opinion about an identified individual, or an individual who is reasonably identifiable, whether the information is true or not and whether recorded in a material form or not, as defined in the Australian Privacy Act 1988.</w:t>
      </w:r>
    </w:p>
    <w:p w14:paraId="7C52DD89" w14:textId="77777777" w:rsidR="001B4B85" w:rsidRDefault="00000000">
      <w:pPr>
        <w:spacing w:after="160" w:line="320" w:lineRule="auto"/>
      </w:pPr>
      <w:r>
        <w:rPr>
          <w:b/>
          <w:bCs/>
          <w:color w:val="0D1B2A"/>
          <w:sz w:val="21"/>
          <w:szCs w:val="21"/>
        </w:rPr>
        <w:t>Practice Data</w:t>
      </w:r>
      <w:r>
        <w:rPr>
          <w:sz w:val="21"/>
          <w:szCs w:val="21"/>
        </w:rPr>
        <w:t xml:space="preserve"> means all data accessed, extracted, or processed by the Processor in connection with the services, including financial data from accounting software, operational data from practice management systems, and contact information for practice staff and patients. The specific data categories accessed are determined by the agreed service tier and are detailed in Schedule A.</w:t>
      </w:r>
    </w:p>
    <w:p w14:paraId="1209D3BF" w14:textId="77777777" w:rsidR="001B4B85" w:rsidRDefault="00000000">
      <w:pPr>
        <w:spacing w:after="160" w:line="320" w:lineRule="auto"/>
      </w:pPr>
      <w:r>
        <w:rPr>
          <w:b/>
          <w:bCs/>
          <w:color w:val="0D1B2A"/>
          <w:sz w:val="21"/>
          <w:szCs w:val="21"/>
        </w:rPr>
        <w:t>Clinical Records</w:t>
      </w:r>
      <w:r>
        <w:rPr>
          <w:sz w:val="21"/>
          <w:szCs w:val="21"/>
        </w:rPr>
        <w:t xml:space="preserve"> means medical histories, clinical notes, diagnoses, treatment plans with clinical detail, imaging, pathology results, and any other information classified as a health record. Clinical Records are explicitly excluded from the scope of this DPA and are never accessed by the Processor.</w:t>
      </w:r>
    </w:p>
    <w:p w14:paraId="5B71C24B" w14:textId="77777777" w:rsidR="003C44AE" w:rsidRDefault="003C44AE">
      <w:pPr>
        <w:rPr>
          <w:b/>
          <w:bCs/>
          <w:color w:val="0D1B2A"/>
          <w:sz w:val="28"/>
          <w:szCs w:val="28"/>
        </w:rPr>
      </w:pPr>
      <w:r>
        <w:br w:type="page"/>
      </w:r>
    </w:p>
    <w:p w14:paraId="1E0D0D59" w14:textId="48756A09" w:rsidR="001B4B85" w:rsidRDefault="00000000">
      <w:pPr>
        <w:pStyle w:val="Heading1"/>
      </w:pPr>
      <w:r>
        <w:lastRenderedPageBreak/>
        <w:t>3. Scope of Processing</w:t>
      </w:r>
    </w:p>
    <w:p w14:paraId="75C5C354" w14:textId="77777777" w:rsidR="001B4B85" w:rsidRDefault="00000000">
      <w:pPr>
        <w:pStyle w:val="Heading2"/>
      </w:pPr>
      <w:r>
        <w:t>3.1 Data Categories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9"/>
        <w:gridCol w:w="3009"/>
      </w:tblGrid>
      <w:tr w:rsidR="001B4B85" w14:paraId="1E35F02C" w14:textId="77777777">
        <w:tc>
          <w:tcPr>
            <w:tcW w:w="3008" w:type="dxa"/>
            <w:tcBorders>
              <w:top w:val="single" w:sz="1" w:space="0" w:color="EDE8E0"/>
              <w:left w:val="single" w:sz="1" w:space="0" w:color="EDE8E0"/>
              <w:bottom w:val="single" w:sz="1" w:space="0" w:color="EDE8E0"/>
              <w:right w:val="single" w:sz="1" w:space="0" w:color="EDE8E0"/>
            </w:tcBorders>
            <w:shd w:val="clear" w:color="auto" w:fill="0D1B2A"/>
            <w:tcMar>
              <w:top w:w="80" w:type="dxa"/>
              <w:left w:w="120" w:type="dxa"/>
              <w:bottom w:w="80" w:type="dxa"/>
              <w:right w:w="120" w:type="dxa"/>
            </w:tcMar>
          </w:tcPr>
          <w:p w14:paraId="3EE36FF7" w14:textId="77777777" w:rsidR="001B4B85" w:rsidRDefault="00000000">
            <w:r>
              <w:rPr>
                <w:b/>
                <w:bCs/>
                <w:color w:val="FFFFFF"/>
                <w:sz w:val="18"/>
                <w:szCs w:val="18"/>
              </w:rPr>
              <w:t>Category</w:t>
            </w:r>
          </w:p>
        </w:tc>
        <w:tc>
          <w:tcPr>
            <w:tcW w:w="3008" w:type="dxa"/>
            <w:tcBorders>
              <w:top w:val="single" w:sz="1" w:space="0" w:color="EDE8E0"/>
              <w:left w:val="single" w:sz="1" w:space="0" w:color="EDE8E0"/>
              <w:bottom w:val="single" w:sz="1" w:space="0" w:color="EDE8E0"/>
              <w:right w:val="single" w:sz="1" w:space="0" w:color="EDE8E0"/>
            </w:tcBorders>
            <w:shd w:val="clear" w:color="auto" w:fill="0D1B2A"/>
            <w:tcMar>
              <w:top w:w="80" w:type="dxa"/>
              <w:left w:w="120" w:type="dxa"/>
              <w:bottom w:w="80" w:type="dxa"/>
              <w:right w:w="120" w:type="dxa"/>
            </w:tcMar>
          </w:tcPr>
          <w:p w14:paraId="364B39B6" w14:textId="77777777" w:rsidR="001B4B85" w:rsidRDefault="00000000">
            <w:r>
              <w:rPr>
                <w:b/>
                <w:bCs/>
                <w:color w:val="FFFFFF"/>
                <w:sz w:val="18"/>
                <w:szCs w:val="18"/>
              </w:rPr>
              <w:t>Examples</w:t>
            </w:r>
          </w:p>
        </w:tc>
        <w:tc>
          <w:tcPr>
            <w:tcW w:w="3008" w:type="dxa"/>
            <w:tcBorders>
              <w:top w:val="single" w:sz="1" w:space="0" w:color="EDE8E0"/>
              <w:left w:val="single" w:sz="1" w:space="0" w:color="EDE8E0"/>
              <w:bottom w:val="single" w:sz="1" w:space="0" w:color="EDE8E0"/>
              <w:right w:val="single" w:sz="1" w:space="0" w:color="EDE8E0"/>
            </w:tcBorders>
            <w:shd w:val="clear" w:color="auto" w:fill="0D1B2A"/>
            <w:tcMar>
              <w:top w:w="80" w:type="dxa"/>
              <w:left w:w="120" w:type="dxa"/>
              <w:bottom w:w="80" w:type="dxa"/>
              <w:right w:w="120" w:type="dxa"/>
            </w:tcMar>
          </w:tcPr>
          <w:p w14:paraId="7EF1D2EE" w14:textId="77777777" w:rsidR="001B4B85" w:rsidRDefault="00000000">
            <w:r>
              <w:rPr>
                <w:b/>
                <w:bCs/>
                <w:color w:val="FFFFFF"/>
                <w:sz w:val="18"/>
                <w:szCs w:val="18"/>
              </w:rPr>
              <w:t>Source System</w:t>
            </w:r>
          </w:p>
        </w:tc>
      </w:tr>
      <w:tr w:rsidR="001B4B85" w14:paraId="4FAB498D" w14:textId="77777777">
        <w:tc>
          <w:tcPr>
            <w:tcW w:w="3008" w:type="dxa"/>
            <w:tcBorders>
              <w:top w:val="single" w:sz="1" w:space="0" w:color="EDE8E0"/>
              <w:left w:val="single" w:sz="1" w:space="0" w:color="EDE8E0"/>
              <w:bottom w:val="single" w:sz="1" w:space="0" w:color="EDE8E0"/>
              <w:right w:val="single" w:sz="1" w:space="0" w:color="EDE8E0"/>
            </w:tcBorders>
            <w:shd w:val="clear" w:color="auto" w:fill="F5F2ED"/>
            <w:tcMar>
              <w:top w:w="80" w:type="dxa"/>
              <w:left w:w="120" w:type="dxa"/>
              <w:bottom w:w="80" w:type="dxa"/>
              <w:right w:w="120" w:type="dxa"/>
            </w:tcMar>
          </w:tcPr>
          <w:p w14:paraId="164B7744" w14:textId="77777777" w:rsidR="001B4B85" w:rsidRDefault="00000000">
            <w:r>
              <w:rPr>
                <w:b/>
                <w:bCs/>
                <w:color w:val="0D1B2A"/>
                <w:sz w:val="18"/>
                <w:szCs w:val="18"/>
              </w:rPr>
              <w:t>Financial data</w:t>
            </w:r>
          </w:p>
        </w:tc>
        <w:tc>
          <w:tcPr>
            <w:tcW w:w="3008"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682B36C7" w14:textId="77777777" w:rsidR="001B4B85" w:rsidRDefault="00000000">
            <w:r>
              <w:rPr>
                <w:sz w:val="18"/>
                <w:szCs w:val="18"/>
              </w:rPr>
              <w:t>Transactions, invoices, payroll, BAS, bank feeds</w:t>
            </w:r>
          </w:p>
        </w:tc>
        <w:tc>
          <w:tcPr>
            <w:tcW w:w="3008"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5CE170A5" w14:textId="77777777" w:rsidR="001B4B85" w:rsidRDefault="00000000">
            <w:r>
              <w:rPr>
                <w:sz w:val="18"/>
                <w:szCs w:val="18"/>
              </w:rPr>
              <w:t>Xero / accounting software</w:t>
            </w:r>
          </w:p>
        </w:tc>
      </w:tr>
      <w:tr w:rsidR="001B4B85" w14:paraId="2ED2A436" w14:textId="77777777">
        <w:tc>
          <w:tcPr>
            <w:tcW w:w="3008" w:type="dxa"/>
            <w:tcBorders>
              <w:top w:val="single" w:sz="1" w:space="0" w:color="EDE8E0"/>
              <w:left w:val="single" w:sz="1" w:space="0" w:color="EDE8E0"/>
              <w:bottom w:val="single" w:sz="1" w:space="0" w:color="EDE8E0"/>
              <w:right w:val="single" w:sz="1" w:space="0" w:color="EDE8E0"/>
            </w:tcBorders>
            <w:shd w:val="clear" w:color="auto" w:fill="F5F2ED"/>
            <w:tcMar>
              <w:top w:w="80" w:type="dxa"/>
              <w:left w:w="120" w:type="dxa"/>
              <w:bottom w:w="80" w:type="dxa"/>
              <w:right w:w="120" w:type="dxa"/>
            </w:tcMar>
          </w:tcPr>
          <w:p w14:paraId="7931775E" w14:textId="77777777" w:rsidR="001B4B85" w:rsidRDefault="00000000">
            <w:r>
              <w:rPr>
                <w:b/>
                <w:bCs/>
                <w:color w:val="0D1B2A"/>
                <w:sz w:val="18"/>
                <w:szCs w:val="18"/>
              </w:rPr>
              <w:t>Operational data</w:t>
            </w:r>
          </w:p>
        </w:tc>
        <w:tc>
          <w:tcPr>
            <w:tcW w:w="3008"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79BD467C" w14:textId="77777777" w:rsidR="001B4B85" w:rsidRDefault="00000000">
            <w:r>
              <w:rPr>
                <w:sz w:val="18"/>
                <w:szCs w:val="18"/>
              </w:rPr>
              <w:t>Appointments, schedules, provider productivity, revenue metrics</w:t>
            </w:r>
          </w:p>
        </w:tc>
        <w:tc>
          <w:tcPr>
            <w:tcW w:w="3008"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6D45EE44" w14:textId="77777777" w:rsidR="001B4B85" w:rsidRDefault="00000000">
            <w:r>
              <w:rPr>
                <w:sz w:val="18"/>
                <w:szCs w:val="18"/>
              </w:rPr>
              <w:t>Practice management system (e.g. D4W)</w:t>
            </w:r>
          </w:p>
        </w:tc>
      </w:tr>
      <w:tr w:rsidR="001B4B85" w14:paraId="4123F106" w14:textId="77777777">
        <w:tc>
          <w:tcPr>
            <w:tcW w:w="3008" w:type="dxa"/>
            <w:tcBorders>
              <w:top w:val="single" w:sz="1" w:space="0" w:color="EDE8E0"/>
              <w:left w:val="single" w:sz="1" w:space="0" w:color="EDE8E0"/>
              <w:bottom w:val="single" w:sz="1" w:space="0" w:color="EDE8E0"/>
              <w:right w:val="single" w:sz="1" w:space="0" w:color="EDE8E0"/>
            </w:tcBorders>
            <w:shd w:val="clear" w:color="auto" w:fill="F5F2ED"/>
            <w:tcMar>
              <w:top w:w="80" w:type="dxa"/>
              <w:left w:w="120" w:type="dxa"/>
              <w:bottom w:w="80" w:type="dxa"/>
              <w:right w:w="120" w:type="dxa"/>
            </w:tcMar>
          </w:tcPr>
          <w:p w14:paraId="61F268AF" w14:textId="77777777" w:rsidR="001B4B85" w:rsidRDefault="00000000">
            <w:r>
              <w:rPr>
                <w:b/>
                <w:bCs/>
                <w:color w:val="0D1B2A"/>
                <w:sz w:val="18"/>
                <w:szCs w:val="18"/>
              </w:rPr>
              <w:t>Contact data</w:t>
            </w:r>
          </w:p>
        </w:tc>
        <w:tc>
          <w:tcPr>
            <w:tcW w:w="3008"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2BA6DCD7" w14:textId="77777777" w:rsidR="001B4B85" w:rsidRDefault="00000000">
            <w:r>
              <w:rPr>
                <w:sz w:val="18"/>
                <w:szCs w:val="18"/>
              </w:rPr>
              <w:t>Names, emails, phone numbers of staff and patients. Scope of patient data access is determined by service tier as detailed in Schedule A.</w:t>
            </w:r>
          </w:p>
        </w:tc>
        <w:tc>
          <w:tcPr>
            <w:tcW w:w="3008"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3B72E0B9" w14:textId="77777777" w:rsidR="001B4B85" w:rsidRDefault="00000000">
            <w:r>
              <w:rPr>
                <w:sz w:val="18"/>
                <w:szCs w:val="18"/>
              </w:rPr>
              <w:t>PMS, Xero, direct provision</w:t>
            </w:r>
          </w:p>
        </w:tc>
      </w:tr>
      <w:tr w:rsidR="001B4B85" w14:paraId="1A00D89C" w14:textId="77777777">
        <w:tc>
          <w:tcPr>
            <w:tcW w:w="3008" w:type="dxa"/>
            <w:tcBorders>
              <w:top w:val="single" w:sz="1" w:space="0" w:color="EDE8E0"/>
              <w:left w:val="single" w:sz="1" w:space="0" w:color="EDE8E0"/>
              <w:bottom w:val="single" w:sz="1" w:space="0" w:color="EDE8E0"/>
              <w:right w:val="single" w:sz="1" w:space="0" w:color="EDE8E0"/>
            </w:tcBorders>
            <w:shd w:val="clear" w:color="auto" w:fill="F5F2ED"/>
            <w:tcMar>
              <w:top w:w="80" w:type="dxa"/>
              <w:left w:w="120" w:type="dxa"/>
              <w:bottom w:w="80" w:type="dxa"/>
              <w:right w:w="120" w:type="dxa"/>
            </w:tcMar>
          </w:tcPr>
          <w:p w14:paraId="1AE24887" w14:textId="77777777" w:rsidR="001B4B85" w:rsidRDefault="00000000">
            <w:r>
              <w:rPr>
                <w:b/>
                <w:bCs/>
                <w:color w:val="0D1B2A"/>
                <w:sz w:val="18"/>
                <w:szCs w:val="18"/>
              </w:rPr>
              <w:t>Website enquiry data</w:t>
            </w:r>
          </w:p>
        </w:tc>
        <w:tc>
          <w:tcPr>
            <w:tcW w:w="3008"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7605123F" w14:textId="77777777" w:rsidR="001B4B85" w:rsidRDefault="00000000">
            <w:r>
              <w:rPr>
                <w:sz w:val="18"/>
                <w:szCs w:val="18"/>
              </w:rPr>
              <w:t>Names, emails, messages submitted via website forms</w:t>
            </w:r>
          </w:p>
        </w:tc>
        <w:tc>
          <w:tcPr>
            <w:tcW w:w="3008"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3B99E55C" w14:textId="77777777" w:rsidR="001B4B85" w:rsidRDefault="00000000">
            <w:r>
              <w:rPr>
                <w:sz w:val="18"/>
                <w:szCs w:val="18"/>
              </w:rPr>
              <w:t>Website contact forms</w:t>
            </w:r>
          </w:p>
        </w:tc>
      </w:tr>
    </w:tbl>
    <w:p w14:paraId="2D829883" w14:textId="77777777" w:rsidR="001B4B85" w:rsidRDefault="001B4B85">
      <w:pPr>
        <w:spacing w:before="100"/>
      </w:pPr>
    </w:p>
    <w:p w14:paraId="0621AA24" w14:textId="77777777" w:rsidR="001B4B85" w:rsidRDefault="00000000">
      <w:pPr>
        <w:pStyle w:val="Heading2"/>
      </w:pPr>
      <w:r>
        <w:t>3.2 Excluded Data</w:t>
      </w:r>
    </w:p>
    <w:p w14:paraId="5488E4AB" w14:textId="77777777" w:rsidR="001B4B85" w:rsidRDefault="00000000">
      <w:pPr>
        <w:spacing w:after="160" w:line="320" w:lineRule="auto"/>
      </w:pPr>
      <w:r>
        <w:rPr>
          <w:sz w:val="21"/>
          <w:szCs w:val="21"/>
        </w:rPr>
        <w:t>The Processor does not access, collect, store, or process Clinical Records. Patient health information, medical histories, clinical notes, and imaging data never enter the Processor's platform. This exclusion is enforced architecturally, not by policy.</w:t>
      </w:r>
    </w:p>
    <w:p w14:paraId="22B959CD" w14:textId="77777777" w:rsidR="001B4B85" w:rsidRDefault="00000000">
      <w:pPr>
        <w:pStyle w:val="Heading2"/>
      </w:pPr>
      <w:r>
        <w:t>3.3 Purpose Limitation</w:t>
      </w:r>
    </w:p>
    <w:p w14:paraId="3BB6D39B" w14:textId="77777777" w:rsidR="001B4B85" w:rsidRDefault="00000000">
      <w:pPr>
        <w:spacing w:after="160" w:line="320" w:lineRule="auto"/>
      </w:pPr>
      <w:r>
        <w:rPr>
          <w:sz w:val="21"/>
          <w:szCs w:val="21"/>
        </w:rPr>
        <w:t>Practice Data is processed solely for the purposes of delivering the agreed services: bookkeeping and accounting, financial reporting and KPIs, revenue recovery, AI-enabled receptionist services, operational intelligence, and advisory services as described in the engagement letter.</w:t>
      </w:r>
    </w:p>
    <w:p w14:paraId="3BB6D39C" w14:textId="77777777" w:rsidR="001B4B85" w:rsidRDefault="00000000">
      <w:pPr>
        <w:pStyle w:val="Heading2"/>
      </w:pPr>
      <w:r>
        <w:t>3.4 Data Access by Service Tier</w:t>
      </w:r>
    </w:p>
    <w:p w14:paraId="3BB6D39D" w14:textId="77777777" w:rsidR="001B4B85" w:rsidRDefault="00000000">
      <w:pPr>
        <w:spacing w:after="160" w:line="320" w:lineRule="auto"/>
      </w:pPr>
      <w:r>
        <w:rPr>
          <w:sz w:val="21"/>
          <w:szCs w:val="21"/>
        </w:rPr>
        <w:t>The specific data categories accessed by the Processor depend on the service tier agreed in the engagement letter. Schedule A to this DPA defines the data access scope for each tier. The Controller selects the applicable tier at the time of signing and must execute an updated Schedule A before any tier upgrade that expands data access.</w:t>
      </w:r>
    </w:p>
    <w:p w14:paraId="3190E027" w14:textId="77777777" w:rsidR="00DF5721" w:rsidRDefault="00DF5721">
      <w:pPr>
        <w:rPr>
          <w:b/>
          <w:bCs/>
          <w:color w:val="0D1B2A"/>
          <w:sz w:val="28"/>
          <w:szCs w:val="28"/>
        </w:rPr>
      </w:pPr>
      <w:r>
        <w:br w:type="page"/>
      </w:r>
    </w:p>
    <w:p w14:paraId="6FE0BBBF" w14:textId="07E68534" w:rsidR="001B4B85" w:rsidRDefault="00000000">
      <w:pPr>
        <w:pStyle w:val="Heading1"/>
      </w:pPr>
      <w:r>
        <w:lastRenderedPageBreak/>
        <w:t>4. Security Measures</w:t>
      </w:r>
    </w:p>
    <w:p w14:paraId="1B8F7172" w14:textId="77777777" w:rsidR="001B4B85" w:rsidRDefault="00000000">
      <w:pPr>
        <w:spacing w:after="160" w:line="320" w:lineRule="auto"/>
      </w:pPr>
      <w:r>
        <w:rPr>
          <w:sz w:val="21"/>
          <w:szCs w:val="21"/>
        </w:rPr>
        <w:t>The Processor implements and maintains the following security controls: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91"/>
        <w:gridCol w:w="5235"/>
      </w:tblGrid>
      <w:tr w:rsidR="001B4B85" w14:paraId="7B6CF174" w14:textId="77777777">
        <w:tc>
          <w:tcPr>
            <w:tcW w:w="4513" w:type="dxa"/>
            <w:tcBorders>
              <w:top w:val="single" w:sz="1" w:space="0" w:color="EDE8E0"/>
              <w:left w:val="single" w:sz="1" w:space="0" w:color="EDE8E0"/>
              <w:bottom w:val="single" w:sz="1" w:space="0" w:color="EDE8E0"/>
              <w:right w:val="single" w:sz="1" w:space="0" w:color="EDE8E0"/>
            </w:tcBorders>
            <w:shd w:val="clear" w:color="auto" w:fill="0E4D52"/>
            <w:tcMar>
              <w:top w:w="80" w:type="dxa"/>
              <w:left w:w="120" w:type="dxa"/>
              <w:bottom w:w="80" w:type="dxa"/>
              <w:right w:w="120" w:type="dxa"/>
            </w:tcMar>
          </w:tcPr>
          <w:p w14:paraId="68FFDAFC" w14:textId="77777777" w:rsidR="001B4B85" w:rsidRDefault="00000000">
            <w:r>
              <w:rPr>
                <w:b/>
                <w:bCs/>
                <w:color w:val="FFFFFF"/>
                <w:sz w:val="18"/>
                <w:szCs w:val="18"/>
              </w:rPr>
              <w:t>Control</w:t>
            </w:r>
          </w:p>
        </w:tc>
        <w:tc>
          <w:tcPr>
            <w:tcW w:w="4513" w:type="dxa"/>
            <w:tcBorders>
              <w:top w:val="single" w:sz="1" w:space="0" w:color="EDE8E0"/>
              <w:left w:val="single" w:sz="1" w:space="0" w:color="EDE8E0"/>
              <w:bottom w:val="single" w:sz="1" w:space="0" w:color="EDE8E0"/>
              <w:right w:val="single" w:sz="1" w:space="0" w:color="EDE8E0"/>
            </w:tcBorders>
            <w:shd w:val="clear" w:color="auto" w:fill="0E4D52"/>
            <w:tcMar>
              <w:top w:w="80" w:type="dxa"/>
              <w:left w:w="120" w:type="dxa"/>
              <w:bottom w:w="80" w:type="dxa"/>
              <w:right w:w="120" w:type="dxa"/>
            </w:tcMar>
          </w:tcPr>
          <w:p w14:paraId="3A80D4B5" w14:textId="77777777" w:rsidR="001B4B85" w:rsidRDefault="00000000">
            <w:r>
              <w:rPr>
                <w:b/>
                <w:bCs/>
                <w:color w:val="FFFFFF"/>
                <w:sz w:val="18"/>
                <w:szCs w:val="18"/>
              </w:rPr>
              <w:t>Implementation</w:t>
            </w:r>
          </w:p>
        </w:tc>
      </w:tr>
      <w:tr w:rsidR="001B4B85" w14:paraId="736A2EB8" w14:textId="77777777">
        <w:tc>
          <w:tcPr>
            <w:tcW w:w="2707" w:type="dxa"/>
            <w:tcBorders>
              <w:top w:val="single" w:sz="1" w:space="0" w:color="EDE8E0"/>
              <w:left w:val="single" w:sz="1" w:space="0" w:color="EDE8E0"/>
              <w:bottom w:val="single" w:sz="1" w:space="0" w:color="EDE8E0"/>
              <w:right w:val="single" w:sz="1" w:space="0" w:color="EDE8E0"/>
            </w:tcBorders>
            <w:shd w:val="clear" w:color="auto" w:fill="F5F2ED"/>
            <w:tcMar>
              <w:top w:w="80" w:type="dxa"/>
              <w:left w:w="120" w:type="dxa"/>
              <w:bottom w:w="80" w:type="dxa"/>
              <w:right w:w="120" w:type="dxa"/>
            </w:tcMar>
          </w:tcPr>
          <w:p w14:paraId="1D77D6D8" w14:textId="77777777" w:rsidR="001B4B85" w:rsidRDefault="00000000">
            <w:r>
              <w:rPr>
                <w:b/>
                <w:bCs/>
                <w:color w:val="0D1B2A"/>
                <w:sz w:val="18"/>
                <w:szCs w:val="18"/>
              </w:rPr>
              <w:t>Encryption at rest</w:t>
            </w:r>
          </w:p>
        </w:tc>
        <w:tc>
          <w:tcPr>
            <w:tcW w:w="6318" w:type="dxa"/>
            <w:tcBorders>
              <w:top w:val="single" w:sz="1" w:space="0" w:color="EDE8E0"/>
              <w:left w:val="single" w:sz="1" w:space="0" w:color="EDE8E0"/>
              <w:bottom w:val="single" w:sz="1" w:space="0" w:color="EDE8E0"/>
              <w:right w:val="single" w:sz="1" w:space="0" w:color="EDE8E0"/>
            </w:tcBorders>
            <w:shd w:val="clear" w:color="auto" w:fill="F5F2ED"/>
            <w:tcMar>
              <w:top w:w="80" w:type="dxa"/>
              <w:left w:w="120" w:type="dxa"/>
              <w:bottom w:w="80" w:type="dxa"/>
              <w:right w:w="120" w:type="dxa"/>
            </w:tcMar>
          </w:tcPr>
          <w:p w14:paraId="1979DEEF" w14:textId="77777777" w:rsidR="001B4B85" w:rsidRDefault="00000000">
            <w:r>
              <w:rPr>
                <w:sz w:val="18"/>
                <w:szCs w:val="18"/>
              </w:rPr>
              <w:t>AES-256 via Azure Storage Service Encryption</w:t>
            </w:r>
          </w:p>
        </w:tc>
      </w:tr>
      <w:tr w:rsidR="001B4B85" w14:paraId="445C92F0" w14:textId="77777777">
        <w:tc>
          <w:tcPr>
            <w:tcW w:w="2707"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4B8F3604" w14:textId="77777777" w:rsidR="001B4B85" w:rsidRDefault="00000000">
            <w:r>
              <w:rPr>
                <w:b/>
                <w:bCs/>
                <w:color w:val="0D1B2A"/>
                <w:sz w:val="18"/>
                <w:szCs w:val="18"/>
              </w:rPr>
              <w:t>Encryption in transit</w:t>
            </w:r>
          </w:p>
        </w:tc>
        <w:tc>
          <w:tcPr>
            <w:tcW w:w="6318"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501803F4" w14:textId="77777777" w:rsidR="001B4B85" w:rsidRDefault="00000000">
            <w:r>
              <w:rPr>
                <w:sz w:val="18"/>
                <w:szCs w:val="18"/>
              </w:rPr>
              <w:t>TLS 1.2 minimum on all connections</w:t>
            </w:r>
          </w:p>
        </w:tc>
      </w:tr>
      <w:tr w:rsidR="001B4B85" w14:paraId="6DF9DA3F" w14:textId="77777777">
        <w:tc>
          <w:tcPr>
            <w:tcW w:w="2707" w:type="dxa"/>
            <w:tcBorders>
              <w:top w:val="single" w:sz="1" w:space="0" w:color="EDE8E0"/>
              <w:left w:val="single" w:sz="1" w:space="0" w:color="EDE8E0"/>
              <w:bottom w:val="single" w:sz="1" w:space="0" w:color="EDE8E0"/>
              <w:right w:val="single" w:sz="1" w:space="0" w:color="EDE8E0"/>
            </w:tcBorders>
            <w:shd w:val="clear" w:color="auto" w:fill="F5F2ED"/>
            <w:tcMar>
              <w:top w:w="80" w:type="dxa"/>
              <w:left w:w="120" w:type="dxa"/>
              <w:bottom w:w="80" w:type="dxa"/>
              <w:right w:w="120" w:type="dxa"/>
            </w:tcMar>
          </w:tcPr>
          <w:p w14:paraId="2E7DDF39" w14:textId="77777777" w:rsidR="001B4B85" w:rsidRDefault="00000000">
            <w:r>
              <w:rPr>
                <w:b/>
                <w:bCs/>
                <w:color w:val="0D1B2A"/>
                <w:sz w:val="18"/>
                <w:szCs w:val="18"/>
              </w:rPr>
              <w:t>Data residency</w:t>
            </w:r>
          </w:p>
        </w:tc>
        <w:tc>
          <w:tcPr>
            <w:tcW w:w="6318" w:type="dxa"/>
            <w:tcBorders>
              <w:top w:val="single" w:sz="1" w:space="0" w:color="EDE8E0"/>
              <w:left w:val="single" w:sz="1" w:space="0" w:color="EDE8E0"/>
              <w:bottom w:val="single" w:sz="1" w:space="0" w:color="EDE8E0"/>
              <w:right w:val="single" w:sz="1" w:space="0" w:color="EDE8E0"/>
            </w:tcBorders>
            <w:shd w:val="clear" w:color="auto" w:fill="F5F2ED"/>
            <w:tcMar>
              <w:top w:w="80" w:type="dxa"/>
              <w:left w:w="120" w:type="dxa"/>
              <w:bottom w:w="80" w:type="dxa"/>
              <w:right w:w="120" w:type="dxa"/>
            </w:tcMar>
          </w:tcPr>
          <w:p w14:paraId="2DE965F9" w14:textId="77777777" w:rsidR="001B4B85" w:rsidRDefault="00000000">
            <w:r>
              <w:rPr>
                <w:sz w:val="18"/>
                <w:szCs w:val="18"/>
              </w:rPr>
              <w:t>Microsoft Azure, Australia East region (Sydney). All data stored in Australia.</w:t>
            </w:r>
          </w:p>
        </w:tc>
      </w:tr>
      <w:tr w:rsidR="001B4B85" w14:paraId="50D9813F" w14:textId="77777777">
        <w:tc>
          <w:tcPr>
            <w:tcW w:w="2707"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25368618" w14:textId="77777777" w:rsidR="001B4B85" w:rsidRDefault="00000000">
            <w:r>
              <w:rPr>
                <w:b/>
                <w:bCs/>
                <w:color w:val="0D1B2A"/>
                <w:sz w:val="18"/>
                <w:szCs w:val="18"/>
              </w:rPr>
              <w:t>Access control</w:t>
            </w:r>
          </w:p>
        </w:tc>
        <w:tc>
          <w:tcPr>
            <w:tcW w:w="6318"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37C30D14" w14:textId="77777777" w:rsidR="001B4B85" w:rsidRDefault="00000000">
            <w:r>
              <w:rPr>
                <w:sz w:val="18"/>
                <w:szCs w:val="18"/>
              </w:rPr>
              <w:t>Azure Entra ID, role-based access, mandatory multi-factor authentication</w:t>
            </w:r>
          </w:p>
        </w:tc>
      </w:tr>
      <w:tr w:rsidR="001B4B85" w14:paraId="2EC0B082" w14:textId="77777777">
        <w:tc>
          <w:tcPr>
            <w:tcW w:w="2707" w:type="dxa"/>
            <w:tcBorders>
              <w:top w:val="single" w:sz="1" w:space="0" w:color="EDE8E0"/>
              <w:left w:val="single" w:sz="1" w:space="0" w:color="EDE8E0"/>
              <w:bottom w:val="single" w:sz="1" w:space="0" w:color="EDE8E0"/>
              <w:right w:val="single" w:sz="1" w:space="0" w:color="EDE8E0"/>
            </w:tcBorders>
            <w:shd w:val="clear" w:color="auto" w:fill="F5F2ED"/>
            <w:tcMar>
              <w:top w:w="80" w:type="dxa"/>
              <w:left w:w="120" w:type="dxa"/>
              <w:bottom w:w="80" w:type="dxa"/>
              <w:right w:w="120" w:type="dxa"/>
            </w:tcMar>
          </w:tcPr>
          <w:p w14:paraId="43402494" w14:textId="77777777" w:rsidR="001B4B85" w:rsidRDefault="00000000">
            <w:r>
              <w:rPr>
                <w:b/>
                <w:bCs/>
                <w:color w:val="0D1B2A"/>
                <w:sz w:val="18"/>
                <w:szCs w:val="18"/>
              </w:rPr>
              <w:t>Credential management</w:t>
            </w:r>
          </w:p>
        </w:tc>
        <w:tc>
          <w:tcPr>
            <w:tcW w:w="6318" w:type="dxa"/>
            <w:tcBorders>
              <w:top w:val="single" w:sz="1" w:space="0" w:color="EDE8E0"/>
              <w:left w:val="single" w:sz="1" w:space="0" w:color="EDE8E0"/>
              <w:bottom w:val="single" w:sz="1" w:space="0" w:color="EDE8E0"/>
              <w:right w:val="single" w:sz="1" w:space="0" w:color="EDE8E0"/>
            </w:tcBorders>
            <w:shd w:val="clear" w:color="auto" w:fill="F5F2ED"/>
            <w:tcMar>
              <w:top w:w="80" w:type="dxa"/>
              <w:left w:w="120" w:type="dxa"/>
              <w:bottom w:w="80" w:type="dxa"/>
              <w:right w:w="120" w:type="dxa"/>
            </w:tcMar>
          </w:tcPr>
          <w:p w14:paraId="0EC821AD" w14:textId="77777777" w:rsidR="001B4B85" w:rsidRDefault="00000000">
            <w:r>
              <w:rPr>
                <w:sz w:val="18"/>
                <w:szCs w:val="18"/>
              </w:rPr>
              <w:t>OAuth 2.0 for Xero. Dedicated read-only service accounts for PMS. Secrets in Azure Key Vault.</w:t>
            </w:r>
          </w:p>
        </w:tc>
      </w:tr>
      <w:tr w:rsidR="001B4B85" w14:paraId="16925A22" w14:textId="77777777">
        <w:tc>
          <w:tcPr>
            <w:tcW w:w="2707"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314029B8" w14:textId="77777777" w:rsidR="001B4B85" w:rsidRDefault="00000000">
            <w:r>
              <w:rPr>
                <w:b/>
                <w:bCs/>
                <w:color w:val="0D1B2A"/>
                <w:sz w:val="18"/>
                <w:szCs w:val="18"/>
              </w:rPr>
              <w:t>Clinic isolation</w:t>
            </w:r>
          </w:p>
        </w:tc>
        <w:tc>
          <w:tcPr>
            <w:tcW w:w="6318"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058D3E0E" w14:textId="77777777" w:rsidR="001B4B85" w:rsidRDefault="00000000">
            <w:r>
              <w:rPr>
                <w:sz w:val="18"/>
                <w:szCs w:val="18"/>
              </w:rPr>
              <w:t>Every record tagged with clinic_id. Row-level security enforced at database layer.</w:t>
            </w:r>
          </w:p>
        </w:tc>
      </w:tr>
      <w:tr w:rsidR="001B4B85" w14:paraId="3154FCE5" w14:textId="77777777">
        <w:tc>
          <w:tcPr>
            <w:tcW w:w="2707" w:type="dxa"/>
            <w:tcBorders>
              <w:top w:val="single" w:sz="1" w:space="0" w:color="EDE8E0"/>
              <w:left w:val="single" w:sz="1" w:space="0" w:color="EDE8E0"/>
              <w:bottom w:val="single" w:sz="1" w:space="0" w:color="EDE8E0"/>
              <w:right w:val="single" w:sz="1" w:space="0" w:color="EDE8E0"/>
            </w:tcBorders>
            <w:shd w:val="clear" w:color="auto" w:fill="F5F2ED"/>
            <w:tcMar>
              <w:top w:w="80" w:type="dxa"/>
              <w:left w:w="120" w:type="dxa"/>
              <w:bottom w:w="80" w:type="dxa"/>
              <w:right w:w="120" w:type="dxa"/>
            </w:tcMar>
          </w:tcPr>
          <w:p w14:paraId="079882ED" w14:textId="77777777" w:rsidR="001B4B85" w:rsidRDefault="00000000">
            <w:r>
              <w:rPr>
                <w:b/>
                <w:bCs/>
                <w:color w:val="0D1B2A"/>
                <w:sz w:val="18"/>
                <w:szCs w:val="18"/>
              </w:rPr>
              <w:t>Audit logging</w:t>
            </w:r>
          </w:p>
        </w:tc>
        <w:tc>
          <w:tcPr>
            <w:tcW w:w="6318" w:type="dxa"/>
            <w:tcBorders>
              <w:top w:val="single" w:sz="1" w:space="0" w:color="EDE8E0"/>
              <w:left w:val="single" w:sz="1" w:space="0" w:color="EDE8E0"/>
              <w:bottom w:val="single" w:sz="1" w:space="0" w:color="EDE8E0"/>
              <w:right w:val="single" w:sz="1" w:space="0" w:color="EDE8E0"/>
            </w:tcBorders>
            <w:shd w:val="clear" w:color="auto" w:fill="F5F2ED"/>
            <w:tcMar>
              <w:top w:w="80" w:type="dxa"/>
              <w:left w:w="120" w:type="dxa"/>
              <w:bottom w:w="80" w:type="dxa"/>
              <w:right w:w="120" w:type="dxa"/>
            </w:tcMar>
          </w:tcPr>
          <w:p w14:paraId="00E376E6" w14:textId="77777777" w:rsidR="001B4B85" w:rsidRDefault="00000000">
            <w:r>
              <w:rPr>
                <w:sz w:val="18"/>
                <w:szCs w:val="18"/>
              </w:rPr>
              <w:t>Every access event logged to immutable audit trail. Quarterly access reviews.</w:t>
            </w:r>
          </w:p>
        </w:tc>
      </w:tr>
      <w:tr w:rsidR="001B4B85" w14:paraId="78EB240E" w14:textId="77777777">
        <w:tc>
          <w:tcPr>
            <w:tcW w:w="2707"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24769E88" w14:textId="77777777" w:rsidR="001B4B85" w:rsidRDefault="00000000">
            <w:r>
              <w:rPr>
                <w:b/>
                <w:bCs/>
                <w:color w:val="0D1B2A"/>
                <w:sz w:val="18"/>
                <w:szCs w:val="18"/>
              </w:rPr>
              <w:t>AI governance</w:t>
            </w:r>
          </w:p>
        </w:tc>
        <w:tc>
          <w:tcPr>
            <w:tcW w:w="6318" w:type="dxa"/>
            <w:tcBorders>
              <w:top w:val="single" w:sz="1" w:space="0" w:color="EDE8E0"/>
              <w:left w:val="single" w:sz="1" w:space="0" w:color="EDE8E0"/>
              <w:bottom w:val="single" w:sz="1" w:space="0" w:color="EDE8E0"/>
              <w:right w:val="single" w:sz="1" w:space="0" w:color="EDE8E0"/>
            </w:tcBorders>
            <w:shd w:val="clear" w:color="auto" w:fill="FFFFFF"/>
            <w:tcMar>
              <w:top w:w="80" w:type="dxa"/>
              <w:left w:w="120" w:type="dxa"/>
              <w:bottom w:w="80" w:type="dxa"/>
              <w:right w:w="120" w:type="dxa"/>
            </w:tcMar>
          </w:tcPr>
          <w:p w14:paraId="75AC955E" w14:textId="77777777" w:rsidR="001B4B85" w:rsidRDefault="00000000">
            <w:r>
              <w:rPr>
                <w:sz w:val="18"/>
                <w:szCs w:val="18"/>
              </w:rPr>
              <w:t>AI assists analysis only. No unsupervised authority over financial actions. Financial calculations are deterministic.</w:t>
            </w:r>
          </w:p>
        </w:tc>
      </w:tr>
    </w:tbl>
    <w:p w14:paraId="6FD31AB4" w14:textId="77777777" w:rsidR="001B4B85" w:rsidRDefault="00000000">
      <w:pPr>
        <w:pStyle w:val="Heading1"/>
      </w:pPr>
      <w:r>
        <w:t>5. Sub-Processors</w:t>
      </w:r>
    </w:p>
    <w:p w14:paraId="10B461B5" w14:textId="77777777" w:rsidR="001B4B85" w:rsidRDefault="00000000">
      <w:pPr>
        <w:spacing w:after="160" w:line="320" w:lineRule="auto"/>
      </w:pPr>
      <w:r>
        <w:rPr>
          <w:sz w:val="21"/>
          <w:szCs w:val="21"/>
        </w:rPr>
        <w:t>The Processor may engage the following categories of sub-processors to deliver the services:</w:t>
      </w:r>
    </w:p>
    <w:p w14:paraId="73150909" w14:textId="77777777" w:rsidR="001B4B85" w:rsidRDefault="00000000">
      <w:pPr>
        <w:pStyle w:val="ListParagraph"/>
        <w:numPr>
          <w:ilvl w:val="0"/>
          <w:numId w:val="2"/>
        </w:numPr>
        <w:spacing w:after="80" w:line="320" w:lineRule="auto"/>
      </w:pPr>
      <w:r>
        <w:rPr>
          <w:sz w:val="21"/>
          <w:szCs w:val="21"/>
        </w:rPr>
        <w:t>Cloud hosting provider (Microsoft Azure, Australian data centre)</w:t>
      </w:r>
    </w:p>
    <w:p w14:paraId="09088586" w14:textId="77777777" w:rsidR="001B4B85" w:rsidRDefault="00000000">
      <w:pPr>
        <w:pStyle w:val="ListParagraph"/>
        <w:numPr>
          <w:ilvl w:val="0"/>
          <w:numId w:val="2"/>
        </w:numPr>
        <w:spacing w:after="80" w:line="320" w:lineRule="auto"/>
      </w:pPr>
      <w:r>
        <w:rPr>
          <w:sz w:val="21"/>
          <w:szCs w:val="21"/>
        </w:rPr>
        <w:t>Registered BAS agents or tax agents for compliance services</w:t>
      </w:r>
    </w:p>
    <w:p w14:paraId="26F724D9" w14:textId="77777777" w:rsidR="001B4B85" w:rsidRDefault="00000000">
      <w:pPr>
        <w:pStyle w:val="ListParagraph"/>
        <w:numPr>
          <w:ilvl w:val="0"/>
          <w:numId w:val="2"/>
        </w:numPr>
        <w:spacing w:after="80" w:line="320" w:lineRule="auto"/>
      </w:pPr>
      <w:r>
        <w:rPr>
          <w:sz w:val="21"/>
          <w:szCs w:val="21"/>
        </w:rPr>
        <w:t>Communication service providers for AI receptionist and messaging</w:t>
      </w:r>
    </w:p>
    <w:p w14:paraId="724D5107" w14:textId="77777777" w:rsidR="001B4B85" w:rsidRDefault="00000000">
      <w:pPr>
        <w:pStyle w:val="ListParagraph"/>
        <w:numPr>
          <w:ilvl w:val="0"/>
          <w:numId w:val="2"/>
        </w:numPr>
        <w:spacing w:after="80" w:line="320" w:lineRule="auto"/>
      </w:pPr>
      <w:r>
        <w:rPr>
          <w:sz w:val="21"/>
          <w:szCs w:val="21"/>
        </w:rPr>
        <w:t>Offshore team members for bookkeeping and reconciliation (with contractual data protection obligations)</w:t>
      </w:r>
    </w:p>
    <w:p w14:paraId="1B2A5C3A" w14:textId="77777777" w:rsidR="001B4B85" w:rsidRDefault="00000000">
      <w:pPr>
        <w:spacing w:after="160" w:line="320" w:lineRule="auto"/>
      </w:pPr>
      <w:r>
        <w:rPr>
          <w:sz w:val="21"/>
          <w:szCs w:val="21"/>
        </w:rPr>
        <w:t>The Processor will notify the Controller before engaging any new sub-processor that accesses Practice Data. The Controller may object to a new sub-processor within 14 days of notification.</w:t>
      </w:r>
    </w:p>
    <w:p w14:paraId="4320D917" w14:textId="77777777" w:rsidR="001B4B85" w:rsidRDefault="00000000">
      <w:pPr>
        <w:pStyle w:val="Heading1"/>
      </w:pPr>
      <w:r>
        <w:t>6. Overseas Access</w:t>
      </w:r>
    </w:p>
    <w:p w14:paraId="5E350DC9" w14:textId="77777777" w:rsidR="001B4B85" w:rsidRDefault="00000000">
      <w:pPr>
        <w:spacing w:after="160" w:line="320" w:lineRule="auto"/>
      </w:pPr>
      <w:r>
        <w:rPr>
          <w:sz w:val="21"/>
          <w:szCs w:val="21"/>
        </w:rPr>
        <w:t>Some operational services (bookkeeping, reconciliation) may be performed by team members located outside Australia. Where this occurs, the Processor ensures that: appropriate contractual protections are in place; data handling complies with the Australian Privacy Principles; all primary data storage remains in Australia; and access is limited to the minimum necessary for the specific task.</w:t>
      </w:r>
    </w:p>
    <w:p w14:paraId="345E6B30" w14:textId="77777777" w:rsidR="00DF5721" w:rsidRDefault="00DF5721">
      <w:pPr>
        <w:rPr>
          <w:b/>
          <w:bCs/>
          <w:color w:val="0D1B2A"/>
          <w:sz w:val="28"/>
          <w:szCs w:val="28"/>
        </w:rPr>
      </w:pPr>
      <w:r>
        <w:br w:type="page"/>
      </w:r>
    </w:p>
    <w:p w14:paraId="345ECE55" w14:textId="1DF3FDDB" w:rsidR="001B4B85" w:rsidRDefault="00000000">
      <w:pPr>
        <w:pStyle w:val="Heading1"/>
      </w:pPr>
      <w:r>
        <w:lastRenderedPageBreak/>
        <w:t>7. Data Breach Notification</w:t>
      </w:r>
    </w:p>
    <w:p w14:paraId="341E6573" w14:textId="77777777" w:rsidR="001B4B85" w:rsidRDefault="00000000">
      <w:pPr>
        <w:spacing w:after="160" w:line="320" w:lineRule="auto"/>
      </w:pPr>
      <w:r>
        <w:rPr>
          <w:sz w:val="21"/>
          <w:szCs w:val="21"/>
        </w:rPr>
        <w:t>In the event of a data breach that affects Practice Data, the Processor will:</w:t>
      </w:r>
    </w:p>
    <w:p w14:paraId="0D26CD10" w14:textId="77777777" w:rsidR="001B4B85" w:rsidRDefault="00000000">
      <w:pPr>
        <w:pStyle w:val="ListParagraph"/>
        <w:numPr>
          <w:ilvl w:val="0"/>
          <w:numId w:val="2"/>
        </w:numPr>
        <w:spacing w:after="80" w:line="320" w:lineRule="auto"/>
      </w:pPr>
      <w:r>
        <w:rPr>
          <w:sz w:val="21"/>
          <w:szCs w:val="21"/>
        </w:rPr>
        <w:t>Notify the Controller within 72 hours of becoming aware of the breach</w:t>
      </w:r>
    </w:p>
    <w:p w14:paraId="2495A1F3" w14:textId="77777777" w:rsidR="001B4B85" w:rsidRDefault="00000000">
      <w:pPr>
        <w:pStyle w:val="ListParagraph"/>
        <w:numPr>
          <w:ilvl w:val="0"/>
          <w:numId w:val="2"/>
        </w:numPr>
        <w:spacing w:after="80" w:line="320" w:lineRule="auto"/>
      </w:pPr>
      <w:r>
        <w:rPr>
          <w:sz w:val="21"/>
          <w:szCs w:val="21"/>
        </w:rPr>
        <w:t>Provide details of the nature of the breach, the data affected, and the likely consequences</w:t>
      </w:r>
    </w:p>
    <w:p w14:paraId="1B72B787" w14:textId="77777777" w:rsidR="001B4B85" w:rsidRDefault="00000000">
      <w:pPr>
        <w:pStyle w:val="ListParagraph"/>
        <w:numPr>
          <w:ilvl w:val="0"/>
          <w:numId w:val="2"/>
        </w:numPr>
        <w:spacing w:after="80" w:line="320" w:lineRule="auto"/>
      </w:pPr>
      <w:r>
        <w:rPr>
          <w:sz w:val="21"/>
          <w:szCs w:val="21"/>
        </w:rPr>
        <w:t>Take immediate steps to contain and remediate the breach</w:t>
      </w:r>
    </w:p>
    <w:p w14:paraId="1AF77E20" w14:textId="77777777" w:rsidR="001B4B85" w:rsidRDefault="00000000">
      <w:pPr>
        <w:pStyle w:val="ListParagraph"/>
        <w:numPr>
          <w:ilvl w:val="0"/>
          <w:numId w:val="2"/>
        </w:numPr>
        <w:spacing w:after="80" w:line="320" w:lineRule="auto"/>
      </w:pPr>
      <w:r>
        <w:rPr>
          <w:sz w:val="21"/>
          <w:szCs w:val="21"/>
        </w:rPr>
        <w:t>Comply with the Notifiable Data Breaches (NDB) scheme under the Australian Privacy Act 1988, including notification to the OAIC where required</w:t>
      </w:r>
    </w:p>
    <w:p w14:paraId="23AE616D" w14:textId="77777777" w:rsidR="001B4B85" w:rsidRDefault="00000000">
      <w:pPr>
        <w:pStyle w:val="ListParagraph"/>
        <w:numPr>
          <w:ilvl w:val="0"/>
          <w:numId w:val="2"/>
        </w:numPr>
        <w:spacing w:after="160" w:line="320" w:lineRule="auto"/>
      </w:pPr>
      <w:r>
        <w:rPr>
          <w:sz w:val="21"/>
          <w:szCs w:val="21"/>
        </w:rPr>
        <w:t>Cooperate with the Controller in any investigation or regulatory response</w:t>
      </w:r>
    </w:p>
    <w:p w14:paraId="73DC573B" w14:textId="77777777" w:rsidR="001B4B85" w:rsidRDefault="00000000">
      <w:pPr>
        <w:pStyle w:val="Heading1"/>
      </w:pPr>
      <w:r>
        <w:t>8. Data Retention and Deletion</w:t>
      </w:r>
    </w:p>
    <w:p w14:paraId="670B5AF5" w14:textId="77777777" w:rsidR="001B4B85" w:rsidRDefault="00000000">
      <w:pPr>
        <w:spacing w:after="160" w:line="320" w:lineRule="auto"/>
      </w:pPr>
      <w:r>
        <w:rPr>
          <w:sz w:val="21"/>
          <w:szCs w:val="21"/>
        </w:rPr>
        <w:t>Practice Data is retained for the duration of the engagement plus any legally required retention period (typically 7 years for financial records under Australian tax law).</w:t>
      </w:r>
    </w:p>
    <w:p w14:paraId="39AD51D4" w14:textId="77777777" w:rsidR="001B4B85" w:rsidRDefault="00000000">
      <w:pPr>
        <w:spacing w:after="160" w:line="320" w:lineRule="auto"/>
      </w:pPr>
      <w:r>
        <w:rPr>
          <w:sz w:val="21"/>
          <w:szCs w:val="21"/>
        </w:rPr>
        <w:t>Upon termination of the engagement, the Processor will delete all Practice Data within 90 days unless a longer retention period is legally required or otherwise agreed in writing. The Controller may request written confirmation of deletion.</w:t>
      </w:r>
    </w:p>
    <w:p w14:paraId="49291046" w14:textId="77777777" w:rsidR="001B4B85" w:rsidRDefault="00000000">
      <w:pPr>
        <w:spacing w:after="160" w:line="320" w:lineRule="auto"/>
      </w:pPr>
      <w:r>
        <w:rPr>
          <w:sz w:val="21"/>
          <w:szCs w:val="21"/>
        </w:rPr>
        <w:t>The Controller may revoke Xero access immediately from within their own Xero account at any time. PMS access credentials will be deactivated upon written request.</w:t>
      </w:r>
    </w:p>
    <w:p w14:paraId="47623A9A" w14:textId="77777777" w:rsidR="001B4B85" w:rsidRDefault="00000000">
      <w:pPr>
        <w:pStyle w:val="Heading1"/>
      </w:pPr>
      <w:r>
        <w:t>9. Controller Obligations</w:t>
      </w:r>
    </w:p>
    <w:p w14:paraId="1E6EF260" w14:textId="77777777" w:rsidR="001B4B85" w:rsidRDefault="00000000">
      <w:pPr>
        <w:spacing w:after="160" w:line="320" w:lineRule="auto"/>
      </w:pPr>
      <w:r>
        <w:rPr>
          <w:sz w:val="21"/>
          <w:szCs w:val="21"/>
        </w:rPr>
        <w:t>The Controller agrees to:</w:t>
      </w:r>
    </w:p>
    <w:p w14:paraId="21550AD8" w14:textId="77777777" w:rsidR="001B4B85" w:rsidRDefault="00000000">
      <w:pPr>
        <w:pStyle w:val="ListParagraph"/>
        <w:numPr>
          <w:ilvl w:val="0"/>
          <w:numId w:val="2"/>
        </w:numPr>
        <w:spacing w:after="80" w:line="320" w:lineRule="auto"/>
      </w:pPr>
      <w:r>
        <w:rPr>
          <w:sz w:val="21"/>
          <w:szCs w:val="21"/>
        </w:rPr>
        <w:t>Maintain the security of their own system credentials and notify the Processor of any suspected compromise</w:t>
      </w:r>
    </w:p>
    <w:p w14:paraId="568DBC43" w14:textId="77777777" w:rsidR="001B4B85" w:rsidRDefault="00000000">
      <w:pPr>
        <w:pStyle w:val="ListParagraph"/>
        <w:numPr>
          <w:ilvl w:val="0"/>
          <w:numId w:val="2"/>
        </w:numPr>
        <w:spacing w:after="80" w:line="320" w:lineRule="auto"/>
      </w:pPr>
      <w:r>
        <w:rPr>
          <w:sz w:val="21"/>
          <w:szCs w:val="21"/>
        </w:rPr>
        <w:t>Revoke access for departing staff members promptly</w:t>
      </w:r>
    </w:p>
    <w:p w14:paraId="167C2E3C" w14:textId="77777777" w:rsidR="001B4B85" w:rsidRDefault="00000000">
      <w:pPr>
        <w:pStyle w:val="ListParagraph"/>
        <w:numPr>
          <w:ilvl w:val="0"/>
          <w:numId w:val="2"/>
        </w:numPr>
        <w:spacing w:after="80" w:line="320" w:lineRule="auto"/>
      </w:pPr>
      <w:r>
        <w:rPr>
          <w:sz w:val="21"/>
          <w:szCs w:val="21"/>
        </w:rPr>
        <w:t>Ensure that any personal information provided to the Processor has been collected in accordance with the Australian Privacy Principles</w:t>
      </w:r>
    </w:p>
    <w:p w14:paraId="350669BF" w14:textId="77777777" w:rsidR="001B4B85" w:rsidRDefault="00000000">
      <w:pPr>
        <w:pStyle w:val="ListParagraph"/>
        <w:numPr>
          <w:ilvl w:val="0"/>
          <w:numId w:val="2"/>
        </w:numPr>
        <w:spacing w:after="160" w:line="320" w:lineRule="auto"/>
      </w:pPr>
      <w:r>
        <w:rPr>
          <w:sz w:val="21"/>
          <w:szCs w:val="21"/>
        </w:rPr>
        <w:t>Where the agreed service tier includes patient data access (as specified in Schedule A), obtain any necessary consents from patients for the sharing of contact and appointment information for the purposes described in Schedule A</w:t>
      </w:r>
    </w:p>
    <w:p w14:paraId="521395D5" w14:textId="77777777" w:rsidR="001B4B85" w:rsidRDefault="00000000">
      <w:pPr>
        <w:pStyle w:val="Heading1"/>
      </w:pPr>
      <w:r>
        <w:t>10. Audit Rights</w:t>
      </w:r>
    </w:p>
    <w:p w14:paraId="5467F73A" w14:textId="77777777" w:rsidR="001B4B85" w:rsidRDefault="00000000">
      <w:pPr>
        <w:spacing w:after="160" w:line="320" w:lineRule="auto"/>
      </w:pPr>
      <w:r>
        <w:rPr>
          <w:sz w:val="21"/>
          <w:szCs w:val="21"/>
        </w:rPr>
        <w:t>The Controller may request, no more than once per calendar year, a summary of the Processor's data security practices and access logs relevant to the Controller's data. The Processor will respond within 30 days. On-site audits are not supported at this time but may be arranged by mutual agreement as the Processor's operations scale.</w:t>
      </w:r>
    </w:p>
    <w:p w14:paraId="338446A9" w14:textId="77777777" w:rsidR="001B4B85" w:rsidRDefault="00000000">
      <w:pPr>
        <w:pStyle w:val="Heading1"/>
      </w:pPr>
      <w:r>
        <w:lastRenderedPageBreak/>
        <w:t>11. Term and Termination</w:t>
      </w:r>
    </w:p>
    <w:p w14:paraId="74978C05" w14:textId="77777777" w:rsidR="001B4B85" w:rsidRDefault="00000000">
      <w:pPr>
        <w:spacing w:after="160" w:line="320" w:lineRule="auto"/>
      </w:pPr>
      <w:r>
        <w:rPr>
          <w:sz w:val="21"/>
          <w:szCs w:val="21"/>
        </w:rPr>
        <w:t>This DPA takes effect on the Effective Date and remains in force for the duration of the service engagement. The data processing obligations in Sections 4, 7, and 8 survive termination of this DPA.</w:t>
      </w:r>
    </w:p>
    <w:p w14:paraId="74E398B8" w14:textId="77777777" w:rsidR="001B4B85" w:rsidRDefault="00000000">
      <w:pPr>
        <w:pStyle w:val="Heading1"/>
      </w:pPr>
      <w:r>
        <w:t>12. Governing Law</w:t>
      </w:r>
    </w:p>
    <w:p w14:paraId="5A66C341" w14:textId="77777777" w:rsidR="001B4B85" w:rsidRDefault="00000000">
      <w:pPr>
        <w:spacing w:after="160" w:line="320" w:lineRule="auto"/>
      </w:pPr>
      <w:r>
        <w:rPr>
          <w:sz w:val="21"/>
          <w:szCs w:val="21"/>
        </w:rPr>
        <w:t>This DPA is governed by the laws of Victoria, Australia. Any disputes will be subject to the jurisdiction of the courts of Victoria.</w:t>
      </w:r>
    </w:p>
    <w:p w14:paraId="335D6A80" w14:textId="77777777" w:rsidR="001B4B85" w:rsidRDefault="00000000">
      <w:pPr>
        <w:pStyle w:val="Heading1"/>
        <w:spacing w:before="480"/>
      </w:pPr>
      <w:r>
        <w:t>Schedule A — Data Access Scope by Service Tier</w:t>
      </w:r>
    </w:p>
    <w:p w14:paraId="335D6A81" w14:textId="77777777" w:rsidR="001B4B85" w:rsidRDefault="00000000">
      <w:pPr>
        <w:spacing w:after="160" w:line="320" w:lineRule="auto"/>
      </w:pPr>
      <w:r>
        <w:rPr>
          <w:sz w:val="21"/>
          <w:szCs w:val="21"/>
        </w:rPr>
        <w:t>The Controller confirms the agreed service tier by initialling the applicable column below. Data access is limited to the categories marked for the selected tier. If the engagement is upgraded to a higher tier, an updated Schedule A must be executed by both parties before the expanded data access commences.</w:t>
      </w:r>
    </w:p>
    <w:tbl>
      <w:tblPr>
        <w:tblW w:w="9026" w:type="dxa"/>
        <w:tblBorders>
          <w:top w:val="single" w:sz="4" w:space="0" w:color="EDE8E0"/>
          <w:left w:val="single" w:sz="4" w:space="0" w:color="EDE8E0"/>
          <w:bottom w:val="single" w:sz="4" w:space="0" w:color="EDE8E0"/>
          <w:right w:val="single" w:sz="4" w:space="0" w:color="EDE8E0"/>
          <w:insideH w:val="single" w:sz="4" w:space="0" w:color="EDE8E0"/>
          <w:insideV w:val="single" w:sz="4" w:space="0" w:color="EDE8E0"/>
        </w:tblBorders>
        <w:tblCellMar>
          <w:top w:w="80" w:type="dxa"/>
          <w:left w:w="120" w:type="dxa"/>
          <w:bottom w:w="80" w:type="dxa"/>
          <w:right w:w="120" w:type="dxa"/>
        </w:tblCellMar>
        <w:tblLook w:val="04A0" w:firstRow="1" w:lastRow="0" w:firstColumn="1" w:lastColumn="0" w:noHBand="0" w:noVBand="1"/>
      </w:tblPr>
      <w:tblGrid>
        <w:gridCol w:w="3010"/>
        <w:gridCol w:w="2005"/>
        <w:gridCol w:w="2005"/>
        <w:gridCol w:w="2006"/>
      </w:tblGrid>
      <w:tr w:rsidR="001B4B85" w14:paraId="335D6A82" w14:textId="77777777">
        <w:tc>
          <w:tcPr>
            <w:tcW w:w="3010" w:type="dxa"/>
            <w:shd w:val="clear" w:color="auto" w:fill="0D1B2A"/>
          </w:tcPr>
          <w:p w14:paraId="335D6A83" w14:textId="77777777" w:rsidR="001B4B85" w:rsidRDefault="00000000">
            <w:r>
              <w:rPr>
                <w:b/>
                <w:color w:val="FFFFFF"/>
                <w:sz w:val="18"/>
                <w:szCs w:val="18"/>
              </w:rPr>
              <w:t>Data Category</w:t>
            </w:r>
          </w:p>
        </w:tc>
        <w:tc>
          <w:tcPr>
            <w:tcW w:w="2005" w:type="dxa"/>
            <w:shd w:val="clear" w:color="auto" w:fill="0D1B2A"/>
          </w:tcPr>
          <w:p w14:paraId="335D6A84" w14:textId="77777777" w:rsidR="001B4B85" w:rsidRDefault="00000000">
            <w:pPr>
              <w:jc w:val="center"/>
            </w:pPr>
            <w:r>
              <w:rPr>
                <w:b/>
                <w:color w:val="FFFFFF"/>
                <w:sz w:val="18"/>
                <w:szCs w:val="18"/>
              </w:rPr>
              <w:t>Tier 1–2 (Foundation / Execution)</w:t>
            </w:r>
          </w:p>
        </w:tc>
        <w:tc>
          <w:tcPr>
            <w:tcW w:w="2005" w:type="dxa"/>
            <w:shd w:val="clear" w:color="auto" w:fill="0D1B2A"/>
          </w:tcPr>
          <w:p w14:paraId="335D6A85" w14:textId="77777777" w:rsidR="001B4B85" w:rsidRDefault="00000000">
            <w:pPr>
              <w:jc w:val="center"/>
            </w:pPr>
            <w:r>
              <w:rPr>
                <w:b/>
                <w:color w:val="FFFFFF"/>
                <w:sz w:val="18"/>
                <w:szCs w:val="18"/>
              </w:rPr>
              <w:t>Tier 3 (Intelligence)</w:t>
            </w:r>
          </w:p>
        </w:tc>
        <w:tc>
          <w:tcPr>
            <w:tcW w:w="2006" w:type="dxa"/>
            <w:shd w:val="clear" w:color="auto" w:fill="0D1B2A"/>
          </w:tcPr>
          <w:p w14:paraId="335D6A86" w14:textId="77777777" w:rsidR="001B4B85" w:rsidRDefault="00000000">
            <w:pPr>
              <w:jc w:val="center"/>
            </w:pPr>
            <w:r>
              <w:rPr>
                <w:b/>
                <w:color w:val="FFFFFF"/>
                <w:sz w:val="18"/>
                <w:szCs w:val="18"/>
              </w:rPr>
              <w:t>Tier 4–5 (Performance / OS)</w:t>
            </w:r>
          </w:p>
        </w:tc>
      </w:tr>
      <w:tr w:rsidR="001B4B85" w14:paraId="335D6A87" w14:textId="77777777">
        <w:tc>
          <w:tcPr>
            <w:tcW w:w="3010" w:type="dxa"/>
            <w:shd w:val="clear" w:color="auto" w:fill="F5F2ED"/>
          </w:tcPr>
          <w:p w14:paraId="335D6A88" w14:textId="77777777" w:rsidR="001B4B85" w:rsidRDefault="00000000">
            <w:r>
              <w:rPr>
                <w:b/>
                <w:sz w:val="18"/>
                <w:szCs w:val="18"/>
              </w:rPr>
              <w:t>Financial data (Xero)</w:t>
            </w:r>
          </w:p>
          <w:p w14:paraId="335D6A89" w14:textId="77777777" w:rsidR="001B4B85" w:rsidRDefault="00000000">
            <w:r>
              <w:rPr>
                <w:color w:val="666666"/>
                <w:sz w:val="16"/>
                <w:szCs w:val="16"/>
              </w:rPr>
              <w:t>Transactions, invoices, payroll, BAS, bank feeds</w:t>
            </w:r>
          </w:p>
        </w:tc>
        <w:tc>
          <w:tcPr>
            <w:tcW w:w="2005" w:type="dxa"/>
            <w:shd w:val="clear" w:color="auto" w:fill="FFFFFF"/>
          </w:tcPr>
          <w:p w14:paraId="335D6A8A" w14:textId="77777777" w:rsidR="001B4B85" w:rsidRDefault="00000000">
            <w:pPr>
              <w:jc w:val="center"/>
            </w:pPr>
            <w:r>
              <w:rPr>
                <w:b/>
                <w:color w:val="2E7D32"/>
                <w:sz w:val="20"/>
                <w:szCs w:val="20"/>
              </w:rPr>
              <w:t>Yes</w:t>
            </w:r>
          </w:p>
        </w:tc>
        <w:tc>
          <w:tcPr>
            <w:tcW w:w="2005" w:type="dxa"/>
            <w:shd w:val="clear" w:color="auto" w:fill="FFFFFF"/>
          </w:tcPr>
          <w:p w14:paraId="335D6A8B" w14:textId="77777777" w:rsidR="001B4B85" w:rsidRDefault="00000000">
            <w:pPr>
              <w:jc w:val="center"/>
            </w:pPr>
            <w:r>
              <w:rPr>
                <w:b/>
                <w:color w:val="2E7D32"/>
                <w:sz w:val="20"/>
                <w:szCs w:val="20"/>
              </w:rPr>
              <w:t>Yes</w:t>
            </w:r>
          </w:p>
        </w:tc>
        <w:tc>
          <w:tcPr>
            <w:tcW w:w="2006" w:type="dxa"/>
            <w:shd w:val="clear" w:color="auto" w:fill="FFFFFF"/>
          </w:tcPr>
          <w:p w14:paraId="335D6A8C" w14:textId="77777777" w:rsidR="001B4B85" w:rsidRDefault="00000000">
            <w:pPr>
              <w:jc w:val="center"/>
            </w:pPr>
            <w:r>
              <w:rPr>
                <w:b/>
                <w:color w:val="2E7D32"/>
                <w:sz w:val="20"/>
                <w:szCs w:val="20"/>
              </w:rPr>
              <w:t>Yes</w:t>
            </w:r>
          </w:p>
        </w:tc>
      </w:tr>
      <w:tr w:rsidR="001B4B85" w14:paraId="335D6A8D" w14:textId="77777777">
        <w:tc>
          <w:tcPr>
            <w:tcW w:w="3010" w:type="dxa"/>
            <w:shd w:val="clear" w:color="auto" w:fill="F5F2ED"/>
          </w:tcPr>
          <w:p w14:paraId="335D6A8E" w14:textId="77777777" w:rsidR="001B4B85" w:rsidRDefault="00000000">
            <w:r>
              <w:rPr>
                <w:b/>
                <w:sz w:val="18"/>
                <w:szCs w:val="18"/>
              </w:rPr>
              <w:t>Staff contact data</w:t>
            </w:r>
          </w:p>
          <w:p w14:paraId="335D6A8F" w14:textId="77777777" w:rsidR="001B4B85" w:rsidRDefault="00000000">
            <w:r>
              <w:rPr>
                <w:color w:val="666666"/>
                <w:sz w:val="16"/>
                <w:szCs w:val="16"/>
              </w:rPr>
              <w:t>Names, emails, phone numbers of practice staff</w:t>
            </w:r>
          </w:p>
        </w:tc>
        <w:tc>
          <w:tcPr>
            <w:tcW w:w="2005" w:type="dxa"/>
            <w:shd w:val="clear" w:color="auto" w:fill="FFFFFF"/>
          </w:tcPr>
          <w:p w14:paraId="335D6A90" w14:textId="77777777" w:rsidR="001B4B85" w:rsidRDefault="00000000">
            <w:pPr>
              <w:jc w:val="center"/>
            </w:pPr>
            <w:r>
              <w:rPr>
                <w:b/>
                <w:color w:val="2E7D32"/>
                <w:sz w:val="20"/>
                <w:szCs w:val="20"/>
              </w:rPr>
              <w:t>Yes</w:t>
            </w:r>
          </w:p>
        </w:tc>
        <w:tc>
          <w:tcPr>
            <w:tcW w:w="2005" w:type="dxa"/>
            <w:shd w:val="clear" w:color="auto" w:fill="FFFFFF"/>
          </w:tcPr>
          <w:p w14:paraId="335D6A91" w14:textId="77777777" w:rsidR="001B4B85" w:rsidRDefault="00000000">
            <w:pPr>
              <w:jc w:val="center"/>
            </w:pPr>
            <w:r>
              <w:rPr>
                <w:b/>
                <w:color w:val="2E7D32"/>
                <w:sz w:val="20"/>
                <w:szCs w:val="20"/>
              </w:rPr>
              <w:t>Yes</w:t>
            </w:r>
          </w:p>
        </w:tc>
        <w:tc>
          <w:tcPr>
            <w:tcW w:w="2006" w:type="dxa"/>
            <w:shd w:val="clear" w:color="auto" w:fill="FFFFFF"/>
          </w:tcPr>
          <w:p w14:paraId="335D6A92" w14:textId="77777777" w:rsidR="001B4B85" w:rsidRDefault="00000000">
            <w:pPr>
              <w:jc w:val="center"/>
            </w:pPr>
            <w:r>
              <w:rPr>
                <w:b/>
                <w:color w:val="2E7D32"/>
                <w:sz w:val="20"/>
                <w:szCs w:val="20"/>
              </w:rPr>
              <w:t>Yes</w:t>
            </w:r>
          </w:p>
        </w:tc>
      </w:tr>
      <w:tr w:rsidR="001B4B85" w14:paraId="335D6A93" w14:textId="77777777">
        <w:tc>
          <w:tcPr>
            <w:tcW w:w="3010" w:type="dxa"/>
            <w:shd w:val="clear" w:color="auto" w:fill="F5F2ED"/>
          </w:tcPr>
          <w:p w14:paraId="335D6A94" w14:textId="77777777" w:rsidR="001B4B85" w:rsidRDefault="00000000">
            <w:r>
              <w:rPr>
                <w:b/>
                <w:sz w:val="18"/>
                <w:szCs w:val="18"/>
              </w:rPr>
              <w:t>Patient contact data</w:t>
            </w:r>
          </w:p>
          <w:p w14:paraId="335D6A95" w14:textId="77777777" w:rsidR="001B4B85" w:rsidRDefault="00000000">
            <w:r>
              <w:rPr>
                <w:color w:val="666666"/>
                <w:sz w:val="16"/>
                <w:szCs w:val="16"/>
              </w:rPr>
              <w:t>Names, emails, phone numbers of patients</w:t>
            </w:r>
          </w:p>
        </w:tc>
        <w:tc>
          <w:tcPr>
            <w:tcW w:w="2005" w:type="dxa"/>
            <w:shd w:val="clear" w:color="auto" w:fill="FFFFFF"/>
          </w:tcPr>
          <w:p w14:paraId="335D6A96" w14:textId="77777777" w:rsidR="001B4B85" w:rsidRDefault="00000000">
            <w:pPr>
              <w:jc w:val="center"/>
            </w:pPr>
            <w:r>
              <w:rPr>
                <w:b/>
                <w:color w:val="C62828"/>
                <w:sz w:val="20"/>
                <w:szCs w:val="20"/>
              </w:rPr>
              <w:t>No</w:t>
            </w:r>
          </w:p>
        </w:tc>
        <w:tc>
          <w:tcPr>
            <w:tcW w:w="2005" w:type="dxa"/>
            <w:shd w:val="clear" w:color="auto" w:fill="FFFFFF"/>
          </w:tcPr>
          <w:p w14:paraId="335D6A97" w14:textId="77777777" w:rsidR="001B4B85" w:rsidRDefault="00000000">
            <w:pPr>
              <w:jc w:val="center"/>
            </w:pPr>
            <w:r>
              <w:rPr>
                <w:b/>
                <w:color w:val="2E7D32"/>
                <w:sz w:val="20"/>
                <w:szCs w:val="20"/>
              </w:rPr>
              <w:t>Yes</w:t>
            </w:r>
          </w:p>
        </w:tc>
        <w:tc>
          <w:tcPr>
            <w:tcW w:w="2006" w:type="dxa"/>
            <w:shd w:val="clear" w:color="auto" w:fill="FFFFFF"/>
          </w:tcPr>
          <w:p w14:paraId="335D6A98" w14:textId="77777777" w:rsidR="001B4B85" w:rsidRDefault="00000000">
            <w:pPr>
              <w:jc w:val="center"/>
            </w:pPr>
            <w:r>
              <w:rPr>
                <w:b/>
                <w:color w:val="2E7D32"/>
                <w:sz w:val="20"/>
                <w:szCs w:val="20"/>
              </w:rPr>
              <w:t>Yes</w:t>
            </w:r>
          </w:p>
        </w:tc>
      </w:tr>
      <w:tr w:rsidR="001B4B85" w14:paraId="335D6A99" w14:textId="77777777">
        <w:tc>
          <w:tcPr>
            <w:tcW w:w="3010" w:type="dxa"/>
            <w:shd w:val="clear" w:color="auto" w:fill="F5F2ED"/>
          </w:tcPr>
          <w:p w14:paraId="335D6A9A" w14:textId="77777777" w:rsidR="001B4B85" w:rsidRDefault="00000000">
            <w:r>
              <w:rPr>
                <w:b/>
                <w:sz w:val="18"/>
                <w:szCs w:val="18"/>
              </w:rPr>
              <w:t>Appointment and schedule data</w:t>
            </w:r>
          </w:p>
          <w:p w14:paraId="335D6A9B" w14:textId="77777777" w:rsidR="001B4B85" w:rsidRDefault="00000000">
            <w:r>
              <w:rPr>
                <w:color w:val="666666"/>
                <w:sz w:val="16"/>
                <w:szCs w:val="16"/>
              </w:rPr>
              <w:t>Booking dates, times, duration, provider, chair, status</w:t>
            </w:r>
          </w:p>
        </w:tc>
        <w:tc>
          <w:tcPr>
            <w:tcW w:w="2005" w:type="dxa"/>
            <w:shd w:val="clear" w:color="auto" w:fill="FFFFFF"/>
          </w:tcPr>
          <w:p w14:paraId="335D6A9C" w14:textId="77777777" w:rsidR="001B4B85" w:rsidRDefault="00000000">
            <w:pPr>
              <w:jc w:val="center"/>
            </w:pPr>
            <w:r>
              <w:rPr>
                <w:b/>
                <w:color w:val="C62828"/>
                <w:sz w:val="20"/>
                <w:szCs w:val="20"/>
              </w:rPr>
              <w:t>No</w:t>
            </w:r>
          </w:p>
        </w:tc>
        <w:tc>
          <w:tcPr>
            <w:tcW w:w="2005" w:type="dxa"/>
            <w:shd w:val="clear" w:color="auto" w:fill="FFFFFF"/>
          </w:tcPr>
          <w:p w14:paraId="335D6A9D" w14:textId="77777777" w:rsidR="001B4B85" w:rsidRDefault="00000000">
            <w:pPr>
              <w:jc w:val="center"/>
            </w:pPr>
            <w:r>
              <w:rPr>
                <w:b/>
                <w:color w:val="2E7D32"/>
                <w:sz w:val="20"/>
                <w:szCs w:val="20"/>
              </w:rPr>
              <w:t>Yes</w:t>
            </w:r>
          </w:p>
        </w:tc>
        <w:tc>
          <w:tcPr>
            <w:tcW w:w="2006" w:type="dxa"/>
            <w:shd w:val="clear" w:color="auto" w:fill="FFFFFF"/>
          </w:tcPr>
          <w:p w14:paraId="335D6A9E" w14:textId="77777777" w:rsidR="001B4B85" w:rsidRDefault="00000000">
            <w:pPr>
              <w:jc w:val="center"/>
            </w:pPr>
            <w:r>
              <w:rPr>
                <w:b/>
                <w:color w:val="2E7D32"/>
                <w:sz w:val="20"/>
                <w:szCs w:val="20"/>
              </w:rPr>
              <w:t>Yes</w:t>
            </w:r>
          </w:p>
        </w:tc>
      </w:tr>
      <w:tr w:rsidR="001B4B85" w14:paraId="335D6AA0" w14:textId="77777777">
        <w:tc>
          <w:tcPr>
            <w:tcW w:w="3010" w:type="dxa"/>
            <w:shd w:val="clear" w:color="auto" w:fill="F5F2ED"/>
          </w:tcPr>
          <w:p w14:paraId="335D6AA1" w14:textId="77777777" w:rsidR="001B4B85" w:rsidRDefault="00000000">
            <w:r>
              <w:rPr>
                <w:b/>
                <w:sz w:val="18"/>
                <w:szCs w:val="18"/>
              </w:rPr>
              <w:t>Recall and treatment plan status</w:t>
            </w:r>
          </w:p>
          <w:p w14:paraId="335D6AA2" w14:textId="77777777" w:rsidR="001B4B85" w:rsidRDefault="00000000">
            <w:r>
              <w:rPr>
                <w:color w:val="666666"/>
                <w:sz w:val="16"/>
                <w:szCs w:val="16"/>
              </w:rPr>
              <w:t>Recall intervals, due dates, plan status (accepted/pending/declined). No clinical detail.</w:t>
            </w:r>
          </w:p>
        </w:tc>
        <w:tc>
          <w:tcPr>
            <w:tcW w:w="2005" w:type="dxa"/>
            <w:shd w:val="clear" w:color="auto" w:fill="FFFFFF"/>
          </w:tcPr>
          <w:p w14:paraId="335D6AA3" w14:textId="77777777" w:rsidR="001B4B85" w:rsidRDefault="00000000">
            <w:pPr>
              <w:jc w:val="center"/>
            </w:pPr>
            <w:r>
              <w:rPr>
                <w:b/>
                <w:color w:val="C62828"/>
                <w:sz w:val="20"/>
                <w:szCs w:val="20"/>
              </w:rPr>
              <w:t>No</w:t>
            </w:r>
          </w:p>
        </w:tc>
        <w:tc>
          <w:tcPr>
            <w:tcW w:w="2005" w:type="dxa"/>
            <w:shd w:val="clear" w:color="auto" w:fill="FFFFFF"/>
          </w:tcPr>
          <w:p w14:paraId="335D6AA4" w14:textId="77777777" w:rsidR="001B4B85" w:rsidRDefault="00000000">
            <w:pPr>
              <w:jc w:val="center"/>
            </w:pPr>
            <w:r>
              <w:rPr>
                <w:b/>
                <w:color w:val="2E7D32"/>
                <w:sz w:val="20"/>
                <w:szCs w:val="20"/>
              </w:rPr>
              <w:t>Yes</w:t>
            </w:r>
          </w:p>
        </w:tc>
        <w:tc>
          <w:tcPr>
            <w:tcW w:w="2006" w:type="dxa"/>
            <w:shd w:val="clear" w:color="auto" w:fill="FFFFFF"/>
          </w:tcPr>
          <w:p w14:paraId="335D6AA5" w14:textId="77777777" w:rsidR="001B4B85" w:rsidRDefault="00000000">
            <w:pPr>
              <w:jc w:val="center"/>
            </w:pPr>
            <w:r>
              <w:rPr>
                <w:b/>
                <w:color w:val="2E7D32"/>
                <w:sz w:val="20"/>
                <w:szCs w:val="20"/>
              </w:rPr>
              <w:t>Yes</w:t>
            </w:r>
          </w:p>
        </w:tc>
      </w:tr>
      <w:tr w:rsidR="001B4B85" w14:paraId="335D6AA6" w14:textId="77777777">
        <w:tc>
          <w:tcPr>
            <w:tcW w:w="3010" w:type="dxa"/>
            <w:shd w:val="clear" w:color="auto" w:fill="F5F2ED"/>
          </w:tcPr>
          <w:p w14:paraId="335D6AA7" w14:textId="77777777" w:rsidR="001B4B85" w:rsidRDefault="00000000">
            <w:r>
              <w:rPr>
                <w:b/>
                <w:sz w:val="18"/>
                <w:szCs w:val="18"/>
              </w:rPr>
              <w:t>AI voice and messaging data</w:t>
            </w:r>
          </w:p>
          <w:p w14:paraId="335D6AA8" w14:textId="77777777" w:rsidR="001B4B85" w:rsidRDefault="00000000">
            <w:r>
              <w:rPr>
                <w:color w:val="666666"/>
                <w:sz w:val="16"/>
                <w:szCs w:val="16"/>
              </w:rPr>
              <w:t>Call recordings, transcripts, SMS/WhatsApp messages</w:t>
            </w:r>
          </w:p>
        </w:tc>
        <w:tc>
          <w:tcPr>
            <w:tcW w:w="2005" w:type="dxa"/>
            <w:shd w:val="clear" w:color="auto" w:fill="FFFFFF"/>
          </w:tcPr>
          <w:p w14:paraId="335D6AA9" w14:textId="77777777" w:rsidR="001B4B85" w:rsidRDefault="00000000">
            <w:pPr>
              <w:jc w:val="center"/>
            </w:pPr>
            <w:r>
              <w:rPr>
                <w:b/>
                <w:color w:val="C62828"/>
                <w:sz w:val="20"/>
                <w:szCs w:val="20"/>
              </w:rPr>
              <w:t>No</w:t>
            </w:r>
          </w:p>
        </w:tc>
        <w:tc>
          <w:tcPr>
            <w:tcW w:w="2005" w:type="dxa"/>
            <w:shd w:val="clear" w:color="auto" w:fill="FFFFFF"/>
          </w:tcPr>
          <w:p w14:paraId="335D6AAA" w14:textId="77777777" w:rsidR="001B4B85" w:rsidRDefault="00000000">
            <w:pPr>
              <w:jc w:val="center"/>
            </w:pPr>
            <w:r>
              <w:rPr>
                <w:b/>
                <w:color w:val="C62828"/>
                <w:sz w:val="20"/>
                <w:szCs w:val="20"/>
              </w:rPr>
              <w:t>No</w:t>
            </w:r>
          </w:p>
        </w:tc>
        <w:tc>
          <w:tcPr>
            <w:tcW w:w="2006" w:type="dxa"/>
            <w:shd w:val="clear" w:color="auto" w:fill="FFFFFF"/>
          </w:tcPr>
          <w:p w14:paraId="335D6AAB" w14:textId="77777777" w:rsidR="001B4B85" w:rsidRDefault="00000000">
            <w:pPr>
              <w:jc w:val="center"/>
            </w:pPr>
            <w:r>
              <w:rPr>
                <w:b/>
                <w:color w:val="2E7D32"/>
                <w:sz w:val="20"/>
                <w:szCs w:val="20"/>
              </w:rPr>
              <w:t>Yes</w:t>
            </w:r>
          </w:p>
        </w:tc>
      </w:tr>
      <w:tr w:rsidR="001B4B85" w14:paraId="335D6AAC" w14:textId="77777777">
        <w:tc>
          <w:tcPr>
            <w:tcW w:w="3010" w:type="dxa"/>
            <w:shd w:val="clear" w:color="auto" w:fill="F5F2ED"/>
          </w:tcPr>
          <w:p w14:paraId="335D6AAD" w14:textId="77777777" w:rsidR="001B4B85" w:rsidRDefault="00000000">
            <w:r>
              <w:rPr>
                <w:b/>
                <w:sz w:val="18"/>
                <w:szCs w:val="18"/>
              </w:rPr>
              <w:t>Clinical records</w:t>
            </w:r>
          </w:p>
          <w:p w14:paraId="335D6AAE" w14:textId="77777777" w:rsidR="001B4B85" w:rsidRDefault="00000000">
            <w:r>
              <w:rPr>
                <w:color w:val="666666"/>
                <w:sz w:val="16"/>
                <w:szCs w:val="16"/>
              </w:rPr>
              <w:t>Medical histories, clinical notes, diagnoses, imaging, x-rays</w:t>
            </w:r>
          </w:p>
        </w:tc>
        <w:tc>
          <w:tcPr>
            <w:tcW w:w="2005" w:type="dxa"/>
            <w:shd w:val="clear" w:color="auto" w:fill="FFFFFF"/>
          </w:tcPr>
          <w:p w14:paraId="335D6AAF" w14:textId="77777777" w:rsidR="001B4B85" w:rsidRDefault="00000000">
            <w:pPr>
              <w:jc w:val="center"/>
            </w:pPr>
            <w:r>
              <w:rPr>
                <w:b/>
                <w:color w:val="C62828"/>
                <w:sz w:val="20"/>
                <w:szCs w:val="20"/>
              </w:rPr>
              <w:t>Never</w:t>
            </w:r>
          </w:p>
        </w:tc>
        <w:tc>
          <w:tcPr>
            <w:tcW w:w="2005" w:type="dxa"/>
            <w:shd w:val="clear" w:color="auto" w:fill="FFFFFF"/>
          </w:tcPr>
          <w:p w14:paraId="335D6AB0" w14:textId="77777777" w:rsidR="001B4B85" w:rsidRDefault="00000000">
            <w:pPr>
              <w:jc w:val="center"/>
            </w:pPr>
            <w:r>
              <w:rPr>
                <w:b/>
                <w:color w:val="C62828"/>
                <w:sz w:val="20"/>
                <w:szCs w:val="20"/>
              </w:rPr>
              <w:t>Never</w:t>
            </w:r>
          </w:p>
        </w:tc>
        <w:tc>
          <w:tcPr>
            <w:tcW w:w="2006" w:type="dxa"/>
            <w:shd w:val="clear" w:color="auto" w:fill="FFFFFF"/>
          </w:tcPr>
          <w:p w14:paraId="335D6AB1" w14:textId="77777777" w:rsidR="001B4B85" w:rsidRDefault="00000000">
            <w:pPr>
              <w:jc w:val="center"/>
            </w:pPr>
            <w:r>
              <w:rPr>
                <w:b/>
                <w:color w:val="C62828"/>
                <w:sz w:val="20"/>
                <w:szCs w:val="20"/>
              </w:rPr>
              <w:t>Never</w:t>
            </w:r>
          </w:p>
        </w:tc>
      </w:tr>
    </w:tbl>
    <w:p w14:paraId="457C31FE" w14:textId="77777777" w:rsidR="00DF5721" w:rsidRDefault="00DF5721">
      <w:pPr>
        <w:spacing w:before="320" w:after="160" w:line="320" w:lineRule="auto"/>
        <w:rPr>
          <w:b/>
          <w:sz w:val="21"/>
          <w:szCs w:val="21"/>
        </w:rPr>
      </w:pPr>
    </w:p>
    <w:p w14:paraId="593AE25C" w14:textId="77777777" w:rsidR="00DF5721" w:rsidRDefault="00DF5721">
      <w:pPr>
        <w:rPr>
          <w:b/>
          <w:sz w:val="21"/>
          <w:szCs w:val="21"/>
        </w:rPr>
      </w:pPr>
      <w:r>
        <w:rPr>
          <w:b/>
          <w:sz w:val="21"/>
          <w:szCs w:val="21"/>
        </w:rPr>
        <w:br w:type="page"/>
      </w:r>
    </w:p>
    <w:p w14:paraId="335D6AB2" w14:textId="4896B8C3" w:rsidR="001B4B85" w:rsidRDefault="00000000">
      <w:pPr>
        <w:spacing w:before="320" w:after="160" w:line="320" w:lineRule="auto"/>
      </w:pPr>
      <w:r>
        <w:rPr>
          <w:b/>
          <w:sz w:val="21"/>
          <w:szCs w:val="21"/>
        </w:rPr>
        <w:lastRenderedPageBreak/>
        <w:t>Agreed Service Tier (initial the applicable column):</w:t>
      </w:r>
    </w:p>
    <w:tbl>
      <w:tblPr>
        <w:tblW w:w="9026" w:type="dxa"/>
        <w:tblBorders>
          <w:top w:val="single" w:sz="4" w:space="0" w:color="EDE8E0"/>
          <w:left w:val="single" w:sz="4" w:space="0" w:color="EDE8E0"/>
          <w:bottom w:val="single" w:sz="4" w:space="0" w:color="EDE8E0"/>
          <w:right w:val="single" w:sz="4" w:space="0" w:color="EDE8E0"/>
          <w:insideH w:val="single" w:sz="4" w:space="0" w:color="EDE8E0"/>
          <w:insideV w:val="single" w:sz="4" w:space="0" w:color="EDE8E0"/>
        </w:tblBorders>
        <w:tblCellMar>
          <w:top w:w="80" w:type="dxa"/>
          <w:left w:w="120" w:type="dxa"/>
          <w:bottom w:w="80" w:type="dxa"/>
          <w:right w:w="120" w:type="dxa"/>
        </w:tblCellMar>
        <w:tblLook w:val="04A0" w:firstRow="1" w:lastRow="0" w:firstColumn="1" w:lastColumn="0" w:noHBand="0" w:noVBand="1"/>
      </w:tblPr>
      <w:tblGrid>
        <w:gridCol w:w="3010"/>
        <w:gridCol w:w="3008"/>
        <w:gridCol w:w="3008"/>
      </w:tblGrid>
      <w:tr w:rsidR="001B4B85" w14:paraId="335D6AB3" w14:textId="77777777">
        <w:tc>
          <w:tcPr>
            <w:tcW w:w="3010" w:type="dxa"/>
            <w:shd w:val="clear" w:color="auto" w:fill="F5F2ED"/>
          </w:tcPr>
          <w:p w14:paraId="335D6AB4" w14:textId="77777777" w:rsidR="001B4B85" w:rsidRDefault="00000000">
            <w:r>
              <w:rPr>
                <w:b/>
                <w:sz w:val="18"/>
                <w:szCs w:val="18"/>
              </w:rPr>
              <w:t>Tier 1–2 (Foundation / Execution)</w:t>
            </w:r>
          </w:p>
          <w:p w14:paraId="335D6AB5" w14:textId="77777777" w:rsidR="001B4B85" w:rsidRDefault="00000000">
            <w:r>
              <w:rPr>
                <w:color w:val="666666"/>
                <w:sz w:val="16"/>
                <w:szCs w:val="16"/>
              </w:rPr>
              <w:t>Financial and staff data only. No patient data accessed.</w:t>
            </w:r>
          </w:p>
        </w:tc>
        <w:tc>
          <w:tcPr>
            <w:tcW w:w="3008" w:type="dxa"/>
            <w:shd w:val="clear" w:color="auto" w:fill="FFFFFF"/>
          </w:tcPr>
          <w:p w14:paraId="335D6AB6" w14:textId="77777777" w:rsidR="001B4B85" w:rsidRDefault="00000000">
            <w:pPr>
              <w:jc w:val="center"/>
            </w:pPr>
            <w:r>
              <w:rPr>
                <w:sz w:val="18"/>
                <w:szCs w:val="18"/>
              </w:rPr>
              <w:t>Controller initials: ________</w:t>
            </w:r>
          </w:p>
        </w:tc>
        <w:tc>
          <w:tcPr>
            <w:tcW w:w="3008" w:type="dxa"/>
            <w:shd w:val="clear" w:color="auto" w:fill="FFFFFF"/>
          </w:tcPr>
          <w:p w14:paraId="335D6AB7" w14:textId="77777777" w:rsidR="001B4B85" w:rsidRDefault="00000000">
            <w:pPr>
              <w:jc w:val="center"/>
            </w:pPr>
            <w:r>
              <w:rPr>
                <w:sz w:val="18"/>
                <w:szCs w:val="18"/>
              </w:rPr>
              <w:t>Date: ________</w:t>
            </w:r>
          </w:p>
        </w:tc>
      </w:tr>
      <w:tr w:rsidR="001B4B85" w14:paraId="335D6AB8" w14:textId="77777777">
        <w:tc>
          <w:tcPr>
            <w:tcW w:w="3010" w:type="dxa"/>
            <w:shd w:val="clear" w:color="auto" w:fill="F5F2ED"/>
          </w:tcPr>
          <w:p w14:paraId="335D6AB9" w14:textId="77777777" w:rsidR="001B4B85" w:rsidRDefault="00000000">
            <w:r>
              <w:rPr>
                <w:b/>
                <w:sz w:val="18"/>
                <w:szCs w:val="18"/>
              </w:rPr>
              <w:t>Tier 3 (Intelligence)</w:t>
            </w:r>
          </w:p>
          <w:p w14:paraId="335D6ABA" w14:textId="77777777" w:rsidR="001B4B85" w:rsidRDefault="00000000">
            <w:r>
              <w:rPr>
                <w:color w:val="666666"/>
                <w:sz w:val="16"/>
                <w:szCs w:val="16"/>
              </w:rPr>
              <w:t>Adds patient contact, appointment, recall, and treatment plan status data from PMS.</w:t>
            </w:r>
          </w:p>
        </w:tc>
        <w:tc>
          <w:tcPr>
            <w:tcW w:w="3008" w:type="dxa"/>
            <w:shd w:val="clear" w:color="auto" w:fill="FFFFFF"/>
          </w:tcPr>
          <w:p w14:paraId="335D6ABB" w14:textId="77777777" w:rsidR="001B4B85" w:rsidRDefault="00000000">
            <w:pPr>
              <w:jc w:val="center"/>
            </w:pPr>
            <w:r>
              <w:rPr>
                <w:sz w:val="18"/>
                <w:szCs w:val="18"/>
              </w:rPr>
              <w:t>Controller initials: ________</w:t>
            </w:r>
          </w:p>
        </w:tc>
        <w:tc>
          <w:tcPr>
            <w:tcW w:w="3008" w:type="dxa"/>
            <w:shd w:val="clear" w:color="auto" w:fill="FFFFFF"/>
          </w:tcPr>
          <w:p w14:paraId="335D6ABC" w14:textId="77777777" w:rsidR="001B4B85" w:rsidRDefault="00000000">
            <w:pPr>
              <w:jc w:val="center"/>
            </w:pPr>
            <w:r>
              <w:rPr>
                <w:sz w:val="18"/>
                <w:szCs w:val="18"/>
              </w:rPr>
              <w:t>Date: ________</w:t>
            </w:r>
          </w:p>
        </w:tc>
      </w:tr>
      <w:tr w:rsidR="001B4B85" w14:paraId="335D6ABD" w14:textId="77777777">
        <w:tc>
          <w:tcPr>
            <w:tcW w:w="3010" w:type="dxa"/>
            <w:shd w:val="clear" w:color="auto" w:fill="F5F2ED"/>
          </w:tcPr>
          <w:p w14:paraId="335D6ABE" w14:textId="77777777" w:rsidR="001B4B85" w:rsidRDefault="00000000">
            <w:r>
              <w:rPr>
                <w:b/>
                <w:sz w:val="18"/>
                <w:szCs w:val="18"/>
              </w:rPr>
              <w:t>Tier 4–5 (Performance / Operating System)</w:t>
            </w:r>
          </w:p>
          <w:p w14:paraId="335D6ABF" w14:textId="77777777" w:rsidR="001B4B85" w:rsidRDefault="00000000">
            <w:r>
              <w:rPr>
                <w:color w:val="666666"/>
                <w:sz w:val="16"/>
                <w:szCs w:val="16"/>
              </w:rPr>
              <w:t>Adds AI voice/messaging data (call recordings, transcripts, SMS).</w:t>
            </w:r>
          </w:p>
        </w:tc>
        <w:tc>
          <w:tcPr>
            <w:tcW w:w="3008" w:type="dxa"/>
            <w:shd w:val="clear" w:color="auto" w:fill="FFFFFF"/>
          </w:tcPr>
          <w:p w14:paraId="335D6AC0" w14:textId="77777777" w:rsidR="001B4B85" w:rsidRDefault="00000000">
            <w:pPr>
              <w:jc w:val="center"/>
            </w:pPr>
            <w:r>
              <w:rPr>
                <w:sz w:val="18"/>
                <w:szCs w:val="18"/>
              </w:rPr>
              <w:t>Controller initials: ________</w:t>
            </w:r>
          </w:p>
        </w:tc>
        <w:tc>
          <w:tcPr>
            <w:tcW w:w="3008" w:type="dxa"/>
            <w:shd w:val="clear" w:color="auto" w:fill="FFFFFF"/>
          </w:tcPr>
          <w:p w14:paraId="335D6AC1" w14:textId="77777777" w:rsidR="001B4B85" w:rsidRDefault="00000000">
            <w:pPr>
              <w:jc w:val="center"/>
            </w:pPr>
            <w:r>
              <w:rPr>
                <w:sz w:val="18"/>
                <w:szCs w:val="18"/>
              </w:rPr>
              <w:t>Date: ________</w:t>
            </w:r>
          </w:p>
        </w:tc>
      </w:tr>
    </w:tbl>
    <w:p w14:paraId="335D6AC2" w14:textId="77777777" w:rsidR="001B4B85" w:rsidRDefault="00000000">
      <w:pPr>
        <w:spacing w:before="240" w:after="160" w:line="320" w:lineRule="auto"/>
      </w:pPr>
      <w:r>
        <w:rPr>
          <w:i/>
          <w:color w:val="666666"/>
          <w:sz w:val="19"/>
          <w:szCs w:val="19"/>
        </w:rPr>
        <w:t>Note: Each tier includes all data access from lower tiers. Clinical records are never accessed at any tier. If the Controller upgrades to a higher tier, both parties must execute an updated Schedule A before the expanded data access commences.</w:t>
      </w:r>
    </w:p>
    <w:p w14:paraId="5784DC57" w14:textId="77777777" w:rsidR="001B4B85" w:rsidRDefault="00000000">
      <w:pPr>
        <w:pStyle w:val="Heading1"/>
      </w:pPr>
      <w:r>
        <w:t>Signatures</w:t>
      </w:r>
    </w:p>
    <w:p w14:paraId="21CDB08A" w14:textId="77777777" w:rsidR="001B4B85" w:rsidRDefault="00000000">
      <w:pPr>
        <w:spacing w:after="160" w:line="320" w:lineRule="auto"/>
      </w:pPr>
      <w:r>
        <w:rPr>
          <w:sz w:val="21"/>
          <w:szCs w:val="21"/>
        </w:rPr>
        <w:t>By signing below, each party acknowledges that they have read, understood, and agree to the terms of this Data Processing Agreement.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1B4B85" w14:paraId="0F7F9C41" w14:textId="77777777">
        <w:tc>
          <w:tcPr>
            <w:tcW w:w="4513" w:type="dxa"/>
            <w:tcBorders>
              <w:top w:val="single" w:sz="1" w:space="0" w:color="EDE8E0"/>
              <w:left w:val="single" w:sz="1" w:space="0" w:color="EDE8E0"/>
              <w:bottom w:val="single" w:sz="1" w:space="0" w:color="EDE8E0"/>
              <w:right w:val="single" w:sz="1" w:space="0" w:color="EDE8E0"/>
            </w:tcBorders>
            <w:tcMar>
              <w:top w:w="120" w:type="dxa"/>
              <w:left w:w="160" w:type="dxa"/>
              <w:bottom w:w="120" w:type="dxa"/>
              <w:right w:w="160" w:type="dxa"/>
            </w:tcMar>
          </w:tcPr>
          <w:p w14:paraId="6AFA67A3" w14:textId="77777777" w:rsidR="001B4B85" w:rsidRDefault="00000000">
            <w:pPr>
              <w:spacing w:after="40"/>
            </w:pPr>
            <w:r>
              <w:rPr>
                <w:b/>
                <w:bCs/>
                <w:color w:val="0E4D52"/>
                <w:spacing w:val="80"/>
                <w:sz w:val="16"/>
                <w:szCs w:val="16"/>
              </w:rPr>
              <w:t>FOR THE PROCESSOR</w:t>
            </w:r>
          </w:p>
          <w:p w14:paraId="2366B953" w14:textId="77777777" w:rsidR="001B4B85" w:rsidRDefault="00000000">
            <w:pPr>
              <w:spacing w:after="40"/>
            </w:pPr>
            <w:r>
              <w:rPr>
                <w:b/>
                <w:bCs/>
                <w:color w:val="0D1B2A"/>
                <w:sz w:val="20"/>
                <w:szCs w:val="20"/>
              </w:rPr>
              <w:t>Siace Partners</w:t>
            </w:r>
          </w:p>
          <w:p w14:paraId="36E06837" w14:textId="77777777" w:rsidR="001B4B85" w:rsidRDefault="001B4B85">
            <w:pPr>
              <w:spacing w:after="400"/>
            </w:pPr>
          </w:p>
          <w:p w14:paraId="5A0ACF42" w14:textId="77777777" w:rsidR="001B4B85" w:rsidRDefault="00000000">
            <w:pPr>
              <w:pBdr>
                <w:bottom w:val="single" w:sz="1" w:space="0" w:color="8A8A9A"/>
              </w:pBdr>
            </w:pPr>
            <w:r>
              <w:rPr>
                <w:sz w:val="20"/>
                <w:szCs w:val="20"/>
              </w:rPr>
              <w:t xml:space="preserve"> </w:t>
            </w:r>
          </w:p>
          <w:p w14:paraId="6BBE098A" w14:textId="77777777" w:rsidR="001B4B85" w:rsidRDefault="00000000">
            <w:pPr>
              <w:spacing w:after="40"/>
            </w:pPr>
            <w:r>
              <w:rPr>
                <w:sz w:val="18"/>
                <w:szCs w:val="18"/>
              </w:rPr>
              <w:t>Name:</w:t>
            </w:r>
          </w:p>
          <w:p w14:paraId="7480E8EB" w14:textId="77777777" w:rsidR="001B4B85" w:rsidRDefault="00000000">
            <w:pPr>
              <w:spacing w:after="40"/>
            </w:pPr>
            <w:r>
              <w:rPr>
                <w:sz w:val="18"/>
                <w:szCs w:val="18"/>
              </w:rPr>
              <w:t>Date:</w:t>
            </w:r>
          </w:p>
          <w:p w14:paraId="10746DE5" w14:textId="77777777" w:rsidR="001B4B85" w:rsidRDefault="00000000">
            <w:r>
              <w:rPr>
                <w:sz w:val="18"/>
                <w:szCs w:val="18"/>
              </w:rPr>
              <w:t>Signature</w:t>
            </w:r>
          </w:p>
        </w:tc>
        <w:tc>
          <w:tcPr>
            <w:tcW w:w="4513" w:type="dxa"/>
            <w:tcBorders>
              <w:top w:val="single" w:sz="1" w:space="0" w:color="EDE8E0"/>
              <w:left w:val="single" w:sz="1" w:space="0" w:color="EDE8E0"/>
              <w:bottom w:val="single" w:sz="1" w:space="0" w:color="EDE8E0"/>
              <w:right w:val="single" w:sz="1" w:space="0" w:color="EDE8E0"/>
            </w:tcBorders>
            <w:tcMar>
              <w:top w:w="120" w:type="dxa"/>
              <w:left w:w="160" w:type="dxa"/>
              <w:bottom w:w="120" w:type="dxa"/>
              <w:right w:w="160" w:type="dxa"/>
            </w:tcMar>
          </w:tcPr>
          <w:p w14:paraId="5DA89AAB" w14:textId="77777777" w:rsidR="001B4B85" w:rsidRDefault="00000000">
            <w:pPr>
              <w:spacing w:after="40"/>
            </w:pPr>
            <w:r>
              <w:rPr>
                <w:b/>
                <w:bCs/>
                <w:color w:val="0D1B2A"/>
                <w:spacing w:val="80"/>
                <w:sz w:val="16"/>
                <w:szCs w:val="16"/>
              </w:rPr>
              <w:t>FOR THE CONTROLLER</w:t>
            </w:r>
          </w:p>
          <w:p w14:paraId="28427FF8" w14:textId="77777777" w:rsidR="001B4B85" w:rsidRDefault="00000000">
            <w:pPr>
              <w:spacing w:after="40"/>
            </w:pPr>
            <w:r>
              <w:rPr>
                <w:b/>
                <w:bCs/>
                <w:color w:val="0D1B2A"/>
                <w:sz w:val="20"/>
                <w:szCs w:val="20"/>
              </w:rPr>
              <w:t>[Practice Name]</w:t>
            </w:r>
          </w:p>
          <w:p w14:paraId="1A340B83" w14:textId="77777777" w:rsidR="001B4B85" w:rsidRDefault="001B4B85">
            <w:pPr>
              <w:spacing w:after="400"/>
            </w:pPr>
          </w:p>
          <w:p w14:paraId="59AA5FD4" w14:textId="77777777" w:rsidR="001B4B85" w:rsidRDefault="00000000">
            <w:pPr>
              <w:pBdr>
                <w:bottom w:val="single" w:sz="1" w:space="0" w:color="8A8A9A"/>
              </w:pBdr>
            </w:pPr>
            <w:r>
              <w:rPr>
                <w:sz w:val="20"/>
                <w:szCs w:val="20"/>
              </w:rPr>
              <w:t xml:space="preserve"> </w:t>
            </w:r>
          </w:p>
          <w:p w14:paraId="782B2D8A" w14:textId="77777777" w:rsidR="001B4B85" w:rsidRDefault="00000000">
            <w:pPr>
              <w:spacing w:after="40"/>
            </w:pPr>
            <w:r>
              <w:rPr>
                <w:sz w:val="18"/>
                <w:szCs w:val="18"/>
              </w:rPr>
              <w:t>Name:</w:t>
            </w:r>
          </w:p>
          <w:p w14:paraId="2B7F0C0F" w14:textId="77777777" w:rsidR="001B4B85" w:rsidRDefault="00000000">
            <w:pPr>
              <w:spacing w:after="40"/>
            </w:pPr>
            <w:r>
              <w:rPr>
                <w:sz w:val="18"/>
                <w:szCs w:val="18"/>
              </w:rPr>
              <w:t>Date:</w:t>
            </w:r>
          </w:p>
          <w:p w14:paraId="43FE57EB" w14:textId="77777777" w:rsidR="001B4B85" w:rsidRDefault="00000000">
            <w:r>
              <w:rPr>
                <w:sz w:val="18"/>
                <w:szCs w:val="18"/>
              </w:rPr>
              <w:t>Signature</w:t>
            </w:r>
          </w:p>
        </w:tc>
      </w:tr>
    </w:tbl>
    <w:p w14:paraId="2D9A20D6" w14:textId="77777777" w:rsidR="000D701C" w:rsidRDefault="000D701C"/>
    <w:sectPr w:rsidR="000D701C">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7242" w14:textId="77777777" w:rsidR="00F4366C" w:rsidRDefault="00F4366C">
      <w:r>
        <w:separator/>
      </w:r>
    </w:p>
  </w:endnote>
  <w:endnote w:type="continuationSeparator" w:id="0">
    <w:p w14:paraId="29545F0A" w14:textId="77777777" w:rsidR="00F4366C" w:rsidRDefault="00F4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6D02" w14:textId="77777777" w:rsidR="001B4B85" w:rsidRDefault="00000000">
    <w:pPr>
      <w:jc w:val="center"/>
    </w:pPr>
    <w:r>
      <w:rPr>
        <w:color w:val="8A8A9A"/>
        <w:sz w:val="14"/>
        <w:szCs w:val="14"/>
      </w:rPr>
      <w:t xml:space="preserve">Siace Partners  |  Data Processing Agreement  |  Page </w:t>
    </w:r>
    <w:r>
      <w:rPr>
        <w:color w:val="8A8A9A"/>
        <w:sz w:val="14"/>
        <w:szCs w:val="14"/>
      </w:rPr>
      <w:fldChar w:fldCharType="begin"/>
    </w:r>
    <w:r>
      <w:rPr>
        <w:color w:val="8A8A9A"/>
        <w:sz w:val="14"/>
        <w:szCs w:val="14"/>
      </w:rPr>
      <w:instrText>PAGE</w:instrText>
    </w:r>
    <w:r>
      <w:rPr>
        <w:color w:val="8A8A9A"/>
        <w:sz w:val="14"/>
        <w:szCs w:val="14"/>
      </w:rPr>
      <w:fldChar w:fldCharType="separate"/>
    </w:r>
    <w:r w:rsidR="003C44AE">
      <w:rPr>
        <w:noProof/>
        <w:color w:val="8A8A9A"/>
        <w:sz w:val="14"/>
        <w:szCs w:val="14"/>
      </w:rPr>
      <w:t>1</w:t>
    </w:r>
    <w:r>
      <w:rPr>
        <w:color w:val="8A8A9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45FA" w14:textId="77777777" w:rsidR="00F4366C" w:rsidRDefault="00F4366C">
      <w:r>
        <w:separator/>
      </w:r>
    </w:p>
  </w:footnote>
  <w:footnote w:type="continuationSeparator" w:id="0">
    <w:p w14:paraId="347B272B" w14:textId="77777777" w:rsidR="00F4366C" w:rsidRDefault="00F43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314"/>
    <w:multiLevelType w:val="hybridMultilevel"/>
    <w:tmpl w:val="85908296"/>
    <w:lvl w:ilvl="0" w:tplc="25266672">
      <w:start w:val="1"/>
      <w:numFmt w:val="bullet"/>
      <w:lvlText w:val="●"/>
      <w:lvlJc w:val="left"/>
      <w:pPr>
        <w:ind w:left="720" w:hanging="360"/>
      </w:pPr>
    </w:lvl>
    <w:lvl w:ilvl="1" w:tplc="7DD49F44">
      <w:start w:val="1"/>
      <w:numFmt w:val="bullet"/>
      <w:lvlText w:val="○"/>
      <w:lvlJc w:val="left"/>
      <w:pPr>
        <w:ind w:left="1440" w:hanging="360"/>
      </w:pPr>
    </w:lvl>
    <w:lvl w:ilvl="2" w:tplc="7EA62E64">
      <w:start w:val="1"/>
      <w:numFmt w:val="bullet"/>
      <w:lvlText w:val="■"/>
      <w:lvlJc w:val="left"/>
      <w:pPr>
        <w:ind w:left="2160" w:hanging="360"/>
      </w:pPr>
    </w:lvl>
    <w:lvl w:ilvl="3" w:tplc="0BAC3CCE">
      <w:start w:val="1"/>
      <w:numFmt w:val="bullet"/>
      <w:lvlText w:val="●"/>
      <w:lvlJc w:val="left"/>
      <w:pPr>
        <w:ind w:left="2880" w:hanging="360"/>
      </w:pPr>
    </w:lvl>
    <w:lvl w:ilvl="4" w:tplc="28582958">
      <w:start w:val="1"/>
      <w:numFmt w:val="bullet"/>
      <w:lvlText w:val="○"/>
      <w:lvlJc w:val="left"/>
      <w:pPr>
        <w:ind w:left="3600" w:hanging="360"/>
      </w:pPr>
    </w:lvl>
    <w:lvl w:ilvl="5" w:tplc="590CBAF4">
      <w:start w:val="1"/>
      <w:numFmt w:val="bullet"/>
      <w:lvlText w:val="■"/>
      <w:lvlJc w:val="left"/>
      <w:pPr>
        <w:ind w:left="4320" w:hanging="360"/>
      </w:pPr>
    </w:lvl>
    <w:lvl w:ilvl="6" w:tplc="97926710">
      <w:start w:val="1"/>
      <w:numFmt w:val="bullet"/>
      <w:lvlText w:val="●"/>
      <w:lvlJc w:val="left"/>
      <w:pPr>
        <w:ind w:left="5040" w:hanging="360"/>
      </w:pPr>
    </w:lvl>
    <w:lvl w:ilvl="7" w:tplc="2F7064AA">
      <w:start w:val="1"/>
      <w:numFmt w:val="bullet"/>
      <w:lvlText w:val="●"/>
      <w:lvlJc w:val="left"/>
      <w:pPr>
        <w:ind w:left="5760" w:hanging="360"/>
      </w:pPr>
    </w:lvl>
    <w:lvl w:ilvl="8" w:tplc="3E3A8574">
      <w:start w:val="1"/>
      <w:numFmt w:val="bullet"/>
      <w:lvlText w:val="●"/>
      <w:lvlJc w:val="left"/>
      <w:pPr>
        <w:ind w:left="6480" w:hanging="360"/>
      </w:pPr>
    </w:lvl>
  </w:abstractNum>
  <w:abstractNum w:abstractNumId="1" w15:restartNumberingAfterBreak="0">
    <w:nsid w:val="0BB00D52"/>
    <w:multiLevelType w:val="hybridMultilevel"/>
    <w:tmpl w:val="83C6AC10"/>
    <w:lvl w:ilvl="0" w:tplc="4FEC6F3A">
      <w:start w:val="1"/>
      <w:numFmt w:val="bullet"/>
      <w:lvlText w:val="•"/>
      <w:lvlJc w:val="left"/>
      <w:pPr>
        <w:ind w:left="720" w:hanging="360"/>
      </w:pPr>
    </w:lvl>
    <w:lvl w:ilvl="1" w:tplc="63E476E2">
      <w:numFmt w:val="decimal"/>
      <w:lvlText w:val=""/>
      <w:lvlJc w:val="left"/>
    </w:lvl>
    <w:lvl w:ilvl="2" w:tplc="59E2A3A8">
      <w:numFmt w:val="decimal"/>
      <w:lvlText w:val=""/>
      <w:lvlJc w:val="left"/>
    </w:lvl>
    <w:lvl w:ilvl="3" w:tplc="15F4925A">
      <w:numFmt w:val="decimal"/>
      <w:lvlText w:val=""/>
      <w:lvlJc w:val="left"/>
    </w:lvl>
    <w:lvl w:ilvl="4" w:tplc="1188EB1C">
      <w:numFmt w:val="decimal"/>
      <w:lvlText w:val=""/>
      <w:lvlJc w:val="left"/>
    </w:lvl>
    <w:lvl w:ilvl="5" w:tplc="1B9A4E96">
      <w:numFmt w:val="decimal"/>
      <w:lvlText w:val=""/>
      <w:lvlJc w:val="left"/>
    </w:lvl>
    <w:lvl w:ilvl="6" w:tplc="67A815BE">
      <w:numFmt w:val="decimal"/>
      <w:lvlText w:val=""/>
      <w:lvlJc w:val="left"/>
    </w:lvl>
    <w:lvl w:ilvl="7" w:tplc="7F02D2B6">
      <w:numFmt w:val="decimal"/>
      <w:lvlText w:val=""/>
      <w:lvlJc w:val="left"/>
    </w:lvl>
    <w:lvl w:ilvl="8" w:tplc="1542CD9E">
      <w:numFmt w:val="decimal"/>
      <w:lvlText w:val=""/>
      <w:lvlJc w:val="left"/>
    </w:lvl>
  </w:abstractNum>
  <w:num w:numId="1" w16cid:durableId="159002754">
    <w:abstractNumId w:val="0"/>
    <w:lvlOverride w:ilvl="0">
      <w:startOverride w:val="1"/>
    </w:lvlOverride>
  </w:num>
  <w:num w:numId="2" w16cid:durableId="172995789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85"/>
    <w:rsid w:val="000D701C"/>
    <w:rsid w:val="001B4B85"/>
    <w:rsid w:val="003C44AE"/>
    <w:rsid w:val="00DF5721"/>
    <w:rsid w:val="00E7182E"/>
    <w:rsid w:val="00EF4E97"/>
    <w:rsid w:val="00F436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DA66"/>
  <w15:docId w15:val="{0214D2FB-DD7F-4DE3-B570-0F860ABD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A5A6A"/>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0D1B2A"/>
      <w:sz w:val="28"/>
      <w:szCs w:val="28"/>
    </w:rPr>
  </w:style>
  <w:style w:type="paragraph" w:styleId="Heading2">
    <w:name w:val="heading 2"/>
    <w:uiPriority w:val="9"/>
    <w:unhideWhenUsed/>
    <w:qFormat/>
    <w:pPr>
      <w:spacing w:before="280" w:after="160"/>
      <w:outlineLvl w:val="1"/>
    </w:pPr>
    <w:rPr>
      <w:b/>
      <w:bCs/>
      <w:color w:val="0E4D52"/>
      <w:sz w:val="24"/>
      <w:szCs w:val="24"/>
    </w:rPr>
  </w:style>
  <w:style w:type="paragraph" w:styleId="Heading3">
    <w:name w:val="heading 3"/>
    <w:uiPriority w:val="9"/>
    <w:semiHidden/>
    <w:unhideWhenUsed/>
    <w:qFormat/>
    <w:pPr>
      <w:spacing w:before="200" w:after="120"/>
      <w:outlineLvl w:val="2"/>
    </w:pPr>
    <w:rPr>
      <w:b/>
      <w:bCs/>
      <w:color w:val="0D1B2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1423</Words>
  <Characters>8271</Characters>
  <Application>Microsoft Office Word</Application>
  <DocSecurity>0</DocSecurity>
  <Lines>250</Lines>
  <Paragraphs>186</Paragraphs>
  <ScaleCrop>false</ScaleCrop>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Jovi Sia</cp:lastModifiedBy>
  <cp:revision>3</cp:revision>
  <dcterms:created xsi:type="dcterms:W3CDTF">2026-05-24T05:24:00Z</dcterms:created>
  <dcterms:modified xsi:type="dcterms:W3CDTF">2026-05-24T05:24:00Z</dcterms:modified>
</cp:coreProperties>
</file>